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D499" w14:textId="77777777" w:rsidR="003F3DDD" w:rsidRPr="007A27C7" w:rsidRDefault="003F3DDD" w:rsidP="007B05BC">
      <w:pPr>
        <w:pStyle w:val="Heading1"/>
        <w:spacing w:before="120"/>
        <w:jc w:val="center"/>
      </w:pPr>
      <w:r w:rsidRPr="007A27C7">
        <w:t xml:space="preserve">Equity </w:t>
      </w:r>
      <w:r>
        <w:t xml:space="preserve">and Inclusion </w:t>
      </w:r>
      <w:r w:rsidRPr="007A27C7">
        <w:t>Plan 2023–24</w:t>
      </w:r>
    </w:p>
    <w:p w14:paraId="3B02FCF9" w14:textId="77777777" w:rsidR="003F3DDD" w:rsidRDefault="003F3DDD" w:rsidP="00E95E8A">
      <w:pPr>
        <w:spacing w:before="240"/>
        <w:rPr>
          <w:b/>
          <w:bCs/>
        </w:rPr>
      </w:pPr>
      <w:r w:rsidRPr="003F3DDD">
        <w:rPr>
          <w:rStyle w:val="Heading2Char"/>
          <w:rFonts w:eastAsiaTheme="minorEastAsia"/>
          <w:b w:val="0"/>
          <w:bCs w:val="0"/>
        </w:rPr>
        <w:t>Vision:</w:t>
      </w:r>
      <w:r>
        <w:rPr>
          <w:b/>
          <w:bCs/>
        </w:rPr>
        <w:t xml:space="preserve"> </w:t>
      </w:r>
      <w:r w:rsidRPr="00886515">
        <w:t>A thriving workplace where all people feel safe, valued and respected, and where the principles of inclusion are strongly reflected in the way we work.</w:t>
      </w:r>
    </w:p>
    <w:p w14:paraId="7CAFAB34" w14:textId="77777777" w:rsidR="003F3DDD" w:rsidRPr="00B072B0" w:rsidRDefault="003F3DDD" w:rsidP="003F3DDD">
      <w:pPr>
        <w:spacing w:before="240" w:after="240"/>
        <w:rPr>
          <w:sz w:val="20"/>
          <w:szCs w:val="20"/>
        </w:rPr>
      </w:pPr>
      <w:r w:rsidRPr="003F3DDD">
        <w:rPr>
          <w:rStyle w:val="Heading2Char"/>
          <w:rFonts w:eastAsiaTheme="minorEastAsia"/>
          <w:b w:val="0"/>
          <w:bCs w:val="0"/>
        </w:rPr>
        <w:t>Purpose:</w:t>
      </w:r>
      <w:r w:rsidRPr="00F61F4E">
        <w:rPr>
          <w:b/>
          <w:bCs/>
        </w:rPr>
        <w:t xml:space="preserve"> </w:t>
      </w:r>
      <w:r w:rsidRPr="00886515">
        <w:t xml:space="preserve">As stated in the DCSSDS </w:t>
      </w:r>
      <w:r w:rsidRPr="00886515">
        <w:rPr>
          <w:i/>
          <w:iCs/>
        </w:rPr>
        <w:t>Strategic Plan 2023–27</w:t>
      </w:r>
      <w:r w:rsidRPr="00886515">
        <w:t>, the purpose of this plan is to create and support a diverse and inclusive workplace reflective of the communities we serve.</w:t>
      </w:r>
    </w:p>
    <w:p w14:paraId="7A47E66B" w14:textId="77777777" w:rsidR="003F3DDD" w:rsidRPr="003F3DDD" w:rsidRDefault="003F3DDD" w:rsidP="00E95E8A">
      <w:pPr>
        <w:pStyle w:val="Heading2"/>
        <w:spacing w:after="120"/>
        <w:rPr>
          <w:b w:val="0"/>
          <w:bCs w:val="0"/>
        </w:rPr>
      </w:pPr>
      <w:r w:rsidRPr="003F3DDD">
        <w:rPr>
          <w:b w:val="0"/>
          <w:bCs w:val="0"/>
        </w:rPr>
        <w:t>How we’ll get there</w:t>
      </w:r>
    </w:p>
    <w:p w14:paraId="335F92E1" w14:textId="4A42105F" w:rsidR="003F3DDD" w:rsidRPr="00886515" w:rsidRDefault="003F3DDD" w:rsidP="003F3DDD">
      <w:r w:rsidRPr="00886515">
        <w:rPr>
          <w:b/>
        </w:rPr>
        <w:t xml:space="preserve">Lead: </w:t>
      </w:r>
      <w:r w:rsidRPr="00886515">
        <w:t>Build leadership capabilities to develop and model inclusive, authentic and compassionate leadership.</w:t>
      </w:r>
      <w:r w:rsidR="005A4310" w:rsidRPr="00886515">
        <w:t xml:space="preserve"> (Maps to PSC strategy: Leadership and accountability)</w:t>
      </w:r>
    </w:p>
    <w:p w14:paraId="74928CE3" w14:textId="77777777" w:rsidR="003F3DDD" w:rsidRPr="00886515" w:rsidRDefault="003F3DDD" w:rsidP="003F3DDD">
      <w:pPr>
        <w:rPr>
          <w:b/>
        </w:rPr>
      </w:pPr>
      <w:r w:rsidRPr="00886515">
        <w:rPr>
          <w:b/>
        </w:rPr>
        <w:t xml:space="preserve">Advance: </w:t>
      </w:r>
      <w:r w:rsidRPr="00886515">
        <w:t>Learn together and raise awareness of ways to advance the department’s ability to foster an inclusive work environment. (Maps to PSC strategy: Human capital investment)</w:t>
      </w:r>
    </w:p>
    <w:p w14:paraId="1E624522" w14:textId="1F5434D5" w:rsidR="003F3DDD" w:rsidRPr="00886515" w:rsidRDefault="003F3DDD" w:rsidP="003F3DDD">
      <w:r w:rsidRPr="00886515">
        <w:rPr>
          <w:b/>
        </w:rPr>
        <w:t xml:space="preserve">Value: </w:t>
      </w:r>
      <w:r w:rsidRPr="00886515">
        <w:t>Support our staff through collaborative design of strategic solutions which value and leverage the advantages diversity provides. (Maps to PSC strategy: System levers)</w:t>
      </w:r>
    </w:p>
    <w:p w14:paraId="365C44E6" w14:textId="77777777" w:rsidR="003F3DDD" w:rsidRPr="00A71CAE" w:rsidRDefault="003F3DDD" w:rsidP="00E95E8A">
      <w:pPr>
        <w:pStyle w:val="Heading2"/>
        <w:spacing w:after="120"/>
        <w:rPr>
          <w:b w:val="0"/>
        </w:rPr>
      </w:pPr>
      <w:r w:rsidRPr="00A71CAE">
        <w:rPr>
          <w:b w:val="0"/>
        </w:rPr>
        <w:t>Background</w:t>
      </w:r>
    </w:p>
    <w:tbl>
      <w:tblPr>
        <w:tblpPr w:leftFromText="180" w:rightFromText="180" w:vertAnchor="text" w:horzAnchor="margin" w:tblpXSpec="right" w:tblpY="5"/>
        <w:tblOverlap w:val="never"/>
        <w:tblW w:w="0" w:type="auto"/>
        <w:tblBorders>
          <w:bottom w:val="single" w:sz="2" w:space="0" w:color="BFBFBF"/>
          <w:insideH w:val="single" w:sz="2" w:space="0" w:color="BFBFBF"/>
          <w:insideV w:val="single" w:sz="2" w:space="0" w:color="BFBFBF"/>
        </w:tblBorders>
        <w:tblCellMar>
          <w:left w:w="0" w:type="dxa"/>
          <w:right w:w="0" w:type="dxa"/>
        </w:tblCellMar>
        <w:tblLook w:val="04A0" w:firstRow="1" w:lastRow="0" w:firstColumn="1" w:lastColumn="0" w:noHBand="0" w:noVBand="1"/>
        <w:tblCaption w:val="Diversity targets progress"/>
        <w:tblDescription w:val="The table shows the number of employees in the department as at 30 June 2023 in each employee group with a diversity target, compares to the numbers in the wider Queensland Public Service and the Public Service Commission targets."/>
      </w:tblPr>
      <w:tblGrid>
        <w:gridCol w:w="6237"/>
        <w:gridCol w:w="1701"/>
        <w:gridCol w:w="1370"/>
        <w:gridCol w:w="1418"/>
        <w:gridCol w:w="1276"/>
      </w:tblGrid>
      <w:tr w:rsidR="0008170D" w:rsidRPr="00E95E8A" w14:paraId="50F9AB7D" w14:textId="77777777" w:rsidTr="00B23C15">
        <w:trPr>
          <w:trHeight w:val="340"/>
          <w:tblHeader/>
        </w:trPr>
        <w:tc>
          <w:tcPr>
            <w:tcW w:w="6237" w:type="dxa"/>
            <w:shd w:val="clear" w:color="auto" w:fill="446E6E"/>
            <w:tcMar>
              <w:top w:w="28" w:type="dxa"/>
              <w:bottom w:w="28" w:type="dxa"/>
            </w:tcMar>
            <w:vAlign w:val="center"/>
          </w:tcPr>
          <w:p w14:paraId="33163216" w14:textId="77777777" w:rsidR="0008170D" w:rsidRPr="00886515" w:rsidRDefault="0008170D" w:rsidP="00B23C15">
            <w:pPr>
              <w:pStyle w:val="Tabletext"/>
              <w:rPr>
                <w:b/>
                <w:bCs/>
                <w:color w:val="FFFFFF" w:themeColor="background1"/>
                <w:sz w:val="22"/>
                <w:szCs w:val="22"/>
              </w:rPr>
            </w:pPr>
            <w:bookmarkStart w:id="0" w:name="_Hlk89078981"/>
            <w:r w:rsidRPr="00886515">
              <w:rPr>
                <w:b/>
                <w:bCs/>
                <w:color w:val="FFFFFF" w:themeColor="background1"/>
                <w:sz w:val="22"/>
                <w:szCs w:val="22"/>
              </w:rPr>
              <w:t>Employee group</w:t>
            </w:r>
          </w:p>
        </w:tc>
        <w:tc>
          <w:tcPr>
            <w:tcW w:w="1701" w:type="dxa"/>
            <w:shd w:val="clear" w:color="auto" w:fill="446E6E"/>
            <w:tcMar>
              <w:top w:w="28" w:type="dxa"/>
              <w:bottom w:w="28" w:type="dxa"/>
            </w:tcMar>
            <w:vAlign w:val="center"/>
          </w:tcPr>
          <w:p w14:paraId="758C3B4C" w14:textId="77777777" w:rsidR="0008170D" w:rsidRPr="00886515" w:rsidRDefault="0008170D" w:rsidP="007B05BC">
            <w:pPr>
              <w:pStyle w:val="Tabletext"/>
              <w:jc w:val="center"/>
              <w:rPr>
                <w:b/>
                <w:bCs/>
                <w:color w:val="FFFFFF" w:themeColor="background1"/>
                <w:sz w:val="22"/>
                <w:szCs w:val="22"/>
              </w:rPr>
            </w:pPr>
            <w:r w:rsidRPr="00886515">
              <w:rPr>
                <w:b/>
                <w:bCs/>
                <w:color w:val="FFFFFF" w:themeColor="background1"/>
                <w:sz w:val="22"/>
                <w:szCs w:val="22"/>
              </w:rPr>
              <w:t xml:space="preserve">Department </w:t>
            </w:r>
            <w:r w:rsidRPr="00886515">
              <w:rPr>
                <w:b/>
                <w:bCs/>
                <w:color w:val="FFFFFF" w:themeColor="background1"/>
                <w:sz w:val="22"/>
                <w:szCs w:val="22"/>
              </w:rPr>
              <w:br/>
              <w:t>30 June 2023</w:t>
            </w:r>
          </w:p>
        </w:tc>
        <w:tc>
          <w:tcPr>
            <w:tcW w:w="1297" w:type="dxa"/>
            <w:shd w:val="clear" w:color="auto" w:fill="446E6E"/>
            <w:tcMar>
              <w:top w:w="28" w:type="dxa"/>
              <w:bottom w:w="28" w:type="dxa"/>
            </w:tcMar>
          </w:tcPr>
          <w:p w14:paraId="1FCBD37D" w14:textId="77777777" w:rsidR="0008170D" w:rsidRPr="00886515" w:rsidRDefault="0008170D" w:rsidP="007B05BC">
            <w:pPr>
              <w:pStyle w:val="Tabletext"/>
              <w:jc w:val="center"/>
              <w:rPr>
                <w:b/>
                <w:bCs/>
                <w:color w:val="FFFFFF" w:themeColor="background1"/>
                <w:sz w:val="22"/>
                <w:szCs w:val="22"/>
              </w:rPr>
            </w:pPr>
            <w:r w:rsidRPr="00886515">
              <w:rPr>
                <w:b/>
                <w:bCs/>
                <w:color w:val="FFFFFF" w:themeColor="background1"/>
                <w:sz w:val="22"/>
                <w:szCs w:val="22"/>
              </w:rPr>
              <w:t>Department target</w:t>
            </w:r>
          </w:p>
        </w:tc>
        <w:tc>
          <w:tcPr>
            <w:tcW w:w="1418" w:type="dxa"/>
            <w:shd w:val="clear" w:color="auto" w:fill="446E6E"/>
            <w:tcMar>
              <w:top w:w="28" w:type="dxa"/>
              <w:bottom w:w="28" w:type="dxa"/>
            </w:tcMar>
          </w:tcPr>
          <w:p w14:paraId="697D2611" w14:textId="77777777" w:rsidR="0008170D" w:rsidRPr="00886515" w:rsidRDefault="0008170D" w:rsidP="007B05BC">
            <w:pPr>
              <w:pStyle w:val="Tabletext"/>
              <w:jc w:val="center"/>
              <w:rPr>
                <w:b/>
                <w:bCs/>
                <w:color w:val="FFFFFF" w:themeColor="background1"/>
                <w:sz w:val="22"/>
                <w:szCs w:val="22"/>
              </w:rPr>
            </w:pPr>
            <w:r w:rsidRPr="00886515">
              <w:rPr>
                <w:b/>
                <w:bCs/>
                <w:color w:val="FFFFFF" w:themeColor="background1"/>
                <w:sz w:val="22"/>
                <w:szCs w:val="22"/>
              </w:rPr>
              <w:t>QPS benchmark*</w:t>
            </w:r>
          </w:p>
        </w:tc>
        <w:tc>
          <w:tcPr>
            <w:tcW w:w="1276" w:type="dxa"/>
            <w:shd w:val="clear" w:color="auto" w:fill="446E6E"/>
            <w:tcMar>
              <w:top w:w="28" w:type="dxa"/>
              <w:bottom w:w="28" w:type="dxa"/>
            </w:tcMar>
            <w:vAlign w:val="center"/>
          </w:tcPr>
          <w:p w14:paraId="012A5B35" w14:textId="77777777" w:rsidR="0008170D" w:rsidRPr="00886515" w:rsidRDefault="0008170D" w:rsidP="007B05BC">
            <w:pPr>
              <w:pStyle w:val="Tabletext"/>
              <w:jc w:val="center"/>
              <w:rPr>
                <w:b/>
                <w:bCs/>
                <w:color w:val="FFFFFF" w:themeColor="background1"/>
                <w:sz w:val="22"/>
                <w:szCs w:val="22"/>
              </w:rPr>
            </w:pPr>
            <w:r w:rsidRPr="00886515">
              <w:rPr>
                <w:b/>
                <w:bCs/>
                <w:color w:val="FFFFFF" w:themeColor="background1"/>
                <w:sz w:val="22"/>
                <w:szCs w:val="22"/>
              </w:rPr>
              <w:t>PSC target</w:t>
            </w:r>
          </w:p>
        </w:tc>
      </w:tr>
      <w:tr w:rsidR="0008170D" w:rsidRPr="00E95E8A" w14:paraId="6DA06BB6" w14:textId="77777777" w:rsidTr="00B23C15">
        <w:tc>
          <w:tcPr>
            <w:tcW w:w="6237" w:type="dxa"/>
            <w:shd w:val="clear" w:color="auto" w:fill="auto"/>
            <w:tcMar>
              <w:top w:w="28" w:type="dxa"/>
              <w:bottom w:w="28" w:type="dxa"/>
            </w:tcMar>
          </w:tcPr>
          <w:p w14:paraId="1534ACD6" w14:textId="77777777" w:rsidR="0008170D" w:rsidRPr="00886515" w:rsidRDefault="0008170D" w:rsidP="0008170D">
            <w:pPr>
              <w:pStyle w:val="Tabletext"/>
              <w:rPr>
                <w:sz w:val="22"/>
                <w:szCs w:val="22"/>
              </w:rPr>
            </w:pPr>
            <w:r w:rsidRPr="00886515">
              <w:rPr>
                <w:sz w:val="22"/>
                <w:szCs w:val="22"/>
              </w:rPr>
              <w:t>Aboriginal and/or Torres Strait Islander employees</w:t>
            </w:r>
          </w:p>
        </w:tc>
        <w:tc>
          <w:tcPr>
            <w:tcW w:w="1701" w:type="dxa"/>
            <w:shd w:val="clear" w:color="auto" w:fill="auto"/>
            <w:tcMar>
              <w:top w:w="28" w:type="dxa"/>
              <w:bottom w:w="28" w:type="dxa"/>
            </w:tcMar>
          </w:tcPr>
          <w:p w14:paraId="20D74531" w14:textId="77777777" w:rsidR="0008170D" w:rsidRPr="00886515" w:rsidRDefault="0008170D" w:rsidP="0008170D">
            <w:pPr>
              <w:pStyle w:val="Tabletext"/>
              <w:jc w:val="center"/>
              <w:rPr>
                <w:sz w:val="22"/>
                <w:szCs w:val="22"/>
              </w:rPr>
            </w:pPr>
            <w:r w:rsidRPr="00886515">
              <w:rPr>
                <w:sz w:val="22"/>
                <w:szCs w:val="22"/>
              </w:rPr>
              <w:t>4.45%</w:t>
            </w:r>
          </w:p>
        </w:tc>
        <w:tc>
          <w:tcPr>
            <w:tcW w:w="1297" w:type="dxa"/>
            <w:shd w:val="clear" w:color="auto" w:fill="auto"/>
            <w:tcMar>
              <w:top w:w="28" w:type="dxa"/>
              <w:bottom w:w="28" w:type="dxa"/>
            </w:tcMar>
          </w:tcPr>
          <w:p w14:paraId="7D862C28" w14:textId="77777777" w:rsidR="0008170D" w:rsidRPr="00886515" w:rsidRDefault="0008170D" w:rsidP="0008170D">
            <w:pPr>
              <w:pStyle w:val="Tablebullet0"/>
              <w:numPr>
                <w:ilvl w:val="0"/>
                <w:numId w:val="0"/>
              </w:numPr>
              <w:ind w:left="426" w:hanging="284"/>
              <w:jc w:val="center"/>
              <w:rPr>
                <w:sz w:val="22"/>
                <w:szCs w:val="22"/>
              </w:rPr>
            </w:pPr>
            <w:r w:rsidRPr="00886515">
              <w:rPr>
                <w:sz w:val="22"/>
                <w:szCs w:val="22"/>
              </w:rPr>
              <w:t>9%</w:t>
            </w:r>
          </w:p>
        </w:tc>
        <w:tc>
          <w:tcPr>
            <w:tcW w:w="1418" w:type="dxa"/>
            <w:shd w:val="clear" w:color="auto" w:fill="auto"/>
            <w:tcMar>
              <w:top w:w="28" w:type="dxa"/>
              <w:bottom w:w="28" w:type="dxa"/>
            </w:tcMar>
          </w:tcPr>
          <w:p w14:paraId="1F59060D" w14:textId="77777777" w:rsidR="0008170D" w:rsidRPr="00886515" w:rsidRDefault="0008170D" w:rsidP="0008170D">
            <w:pPr>
              <w:pStyle w:val="Tablebullet0"/>
              <w:numPr>
                <w:ilvl w:val="0"/>
                <w:numId w:val="0"/>
              </w:numPr>
              <w:ind w:left="426" w:hanging="284"/>
              <w:jc w:val="center"/>
              <w:rPr>
                <w:sz w:val="22"/>
                <w:szCs w:val="22"/>
              </w:rPr>
            </w:pPr>
            <w:r w:rsidRPr="00886515">
              <w:rPr>
                <w:sz w:val="22"/>
                <w:szCs w:val="22"/>
              </w:rPr>
              <w:t>2.55%</w:t>
            </w:r>
          </w:p>
        </w:tc>
        <w:tc>
          <w:tcPr>
            <w:tcW w:w="1276" w:type="dxa"/>
            <w:shd w:val="clear" w:color="auto" w:fill="auto"/>
            <w:tcMar>
              <w:top w:w="28" w:type="dxa"/>
              <w:bottom w:w="28" w:type="dxa"/>
            </w:tcMar>
          </w:tcPr>
          <w:p w14:paraId="3549DC97" w14:textId="77777777" w:rsidR="0008170D" w:rsidRPr="00886515" w:rsidRDefault="0008170D" w:rsidP="0008170D">
            <w:pPr>
              <w:pStyle w:val="Tablebullet0"/>
              <w:numPr>
                <w:ilvl w:val="0"/>
                <w:numId w:val="0"/>
              </w:numPr>
              <w:ind w:left="426" w:hanging="284"/>
              <w:jc w:val="center"/>
              <w:rPr>
                <w:sz w:val="22"/>
                <w:szCs w:val="22"/>
              </w:rPr>
            </w:pPr>
            <w:r w:rsidRPr="00886515">
              <w:rPr>
                <w:sz w:val="22"/>
                <w:szCs w:val="22"/>
              </w:rPr>
              <w:t>4%</w:t>
            </w:r>
          </w:p>
        </w:tc>
      </w:tr>
      <w:tr w:rsidR="0008170D" w:rsidRPr="00E95E8A" w14:paraId="2376D159" w14:textId="77777777" w:rsidTr="00B23C15">
        <w:tc>
          <w:tcPr>
            <w:tcW w:w="6237" w:type="dxa"/>
            <w:shd w:val="clear" w:color="auto" w:fill="auto"/>
            <w:tcMar>
              <w:top w:w="28" w:type="dxa"/>
              <w:bottom w:w="28" w:type="dxa"/>
            </w:tcMar>
          </w:tcPr>
          <w:p w14:paraId="3E5123AC" w14:textId="77777777" w:rsidR="0008170D" w:rsidRPr="00886515" w:rsidRDefault="0008170D" w:rsidP="0008170D">
            <w:pPr>
              <w:pStyle w:val="Tabletext"/>
              <w:tabs>
                <w:tab w:val="left" w:pos="3885"/>
              </w:tabs>
              <w:rPr>
                <w:sz w:val="22"/>
                <w:szCs w:val="22"/>
              </w:rPr>
            </w:pPr>
            <w:r w:rsidRPr="00886515">
              <w:rPr>
                <w:sz w:val="22"/>
                <w:szCs w:val="22"/>
              </w:rPr>
              <w:t>Employees with disability</w:t>
            </w:r>
          </w:p>
        </w:tc>
        <w:tc>
          <w:tcPr>
            <w:tcW w:w="1701" w:type="dxa"/>
            <w:shd w:val="clear" w:color="auto" w:fill="auto"/>
            <w:tcMar>
              <w:top w:w="28" w:type="dxa"/>
              <w:bottom w:w="28" w:type="dxa"/>
            </w:tcMar>
          </w:tcPr>
          <w:p w14:paraId="49D24F61" w14:textId="77777777" w:rsidR="0008170D" w:rsidRPr="00886515" w:rsidRDefault="0008170D" w:rsidP="0008170D">
            <w:pPr>
              <w:pStyle w:val="Tabletext"/>
              <w:jc w:val="center"/>
              <w:rPr>
                <w:sz w:val="22"/>
                <w:szCs w:val="22"/>
              </w:rPr>
            </w:pPr>
            <w:r w:rsidRPr="00886515">
              <w:rPr>
                <w:sz w:val="22"/>
                <w:szCs w:val="22"/>
              </w:rPr>
              <w:t>4.10%</w:t>
            </w:r>
          </w:p>
        </w:tc>
        <w:tc>
          <w:tcPr>
            <w:tcW w:w="1297" w:type="dxa"/>
            <w:shd w:val="clear" w:color="auto" w:fill="auto"/>
            <w:tcMar>
              <w:top w:w="28" w:type="dxa"/>
              <w:bottom w:w="28" w:type="dxa"/>
            </w:tcMar>
          </w:tcPr>
          <w:p w14:paraId="243C2A89" w14:textId="77777777" w:rsidR="0008170D" w:rsidRPr="00886515" w:rsidRDefault="0008170D" w:rsidP="0008170D">
            <w:pPr>
              <w:pStyle w:val="Tablebullet0"/>
              <w:numPr>
                <w:ilvl w:val="0"/>
                <w:numId w:val="0"/>
              </w:numPr>
              <w:ind w:left="426" w:hanging="284"/>
              <w:jc w:val="center"/>
              <w:rPr>
                <w:sz w:val="22"/>
                <w:szCs w:val="22"/>
              </w:rPr>
            </w:pPr>
            <w:r w:rsidRPr="00886515">
              <w:rPr>
                <w:sz w:val="22"/>
                <w:szCs w:val="22"/>
              </w:rPr>
              <w:t>12%</w:t>
            </w:r>
          </w:p>
        </w:tc>
        <w:tc>
          <w:tcPr>
            <w:tcW w:w="1418" w:type="dxa"/>
            <w:shd w:val="clear" w:color="auto" w:fill="auto"/>
            <w:tcMar>
              <w:top w:w="28" w:type="dxa"/>
              <w:bottom w:w="28" w:type="dxa"/>
            </w:tcMar>
          </w:tcPr>
          <w:p w14:paraId="33388BA2" w14:textId="77777777" w:rsidR="0008170D" w:rsidRPr="00886515" w:rsidRDefault="0008170D" w:rsidP="0008170D">
            <w:pPr>
              <w:pStyle w:val="Tablebullet0"/>
              <w:numPr>
                <w:ilvl w:val="0"/>
                <w:numId w:val="0"/>
              </w:numPr>
              <w:ind w:left="426" w:hanging="284"/>
              <w:jc w:val="center"/>
              <w:rPr>
                <w:sz w:val="22"/>
                <w:szCs w:val="22"/>
              </w:rPr>
            </w:pPr>
            <w:r w:rsidRPr="00886515">
              <w:rPr>
                <w:sz w:val="22"/>
                <w:szCs w:val="22"/>
              </w:rPr>
              <w:t>3.4%</w:t>
            </w:r>
          </w:p>
        </w:tc>
        <w:tc>
          <w:tcPr>
            <w:tcW w:w="1276" w:type="dxa"/>
            <w:shd w:val="clear" w:color="auto" w:fill="auto"/>
            <w:tcMar>
              <w:top w:w="28" w:type="dxa"/>
              <w:bottom w:w="28" w:type="dxa"/>
            </w:tcMar>
          </w:tcPr>
          <w:p w14:paraId="1B5192BB" w14:textId="77777777" w:rsidR="0008170D" w:rsidRPr="00886515" w:rsidRDefault="0008170D" w:rsidP="0008170D">
            <w:pPr>
              <w:pStyle w:val="Tablebullet0"/>
              <w:numPr>
                <w:ilvl w:val="0"/>
                <w:numId w:val="0"/>
              </w:numPr>
              <w:ind w:left="426" w:hanging="284"/>
              <w:jc w:val="center"/>
              <w:rPr>
                <w:sz w:val="22"/>
                <w:szCs w:val="22"/>
              </w:rPr>
            </w:pPr>
            <w:r w:rsidRPr="00886515">
              <w:rPr>
                <w:sz w:val="22"/>
                <w:szCs w:val="22"/>
              </w:rPr>
              <w:t>12%</w:t>
            </w:r>
          </w:p>
        </w:tc>
      </w:tr>
      <w:tr w:rsidR="0008170D" w:rsidRPr="00E95E8A" w14:paraId="3FD20A3B" w14:textId="77777777" w:rsidTr="00B23C15">
        <w:tc>
          <w:tcPr>
            <w:tcW w:w="6237" w:type="dxa"/>
            <w:shd w:val="clear" w:color="auto" w:fill="auto"/>
            <w:tcMar>
              <w:top w:w="28" w:type="dxa"/>
              <w:bottom w:w="28" w:type="dxa"/>
            </w:tcMar>
          </w:tcPr>
          <w:p w14:paraId="204A0CC4" w14:textId="77777777" w:rsidR="0008170D" w:rsidRPr="00886515" w:rsidRDefault="0008170D" w:rsidP="0008170D">
            <w:pPr>
              <w:pStyle w:val="Tabletext"/>
              <w:rPr>
                <w:sz w:val="22"/>
                <w:szCs w:val="22"/>
              </w:rPr>
            </w:pPr>
            <w:r w:rsidRPr="00886515">
              <w:rPr>
                <w:sz w:val="22"/>
                <w:szCs w:val="22"/>
              </w:rPr>
              <w:t>Culturally and linguistically diverse employees — speak a language other than English at home</w:t>
            </w:r>
          </w:p>
        </w:tc>
        <w:tc>
          <w:tcPr>
            <w:tcW w:w="1701" w:type="dxa"/>
            <w:shd w:val="clear" w:color="auto" w:fill="auto"/>
            <w:tcMar>
              <w:top w:w="28" w:type="dxa"/>
              <w:bottom w:w="28" w:type="dxa"/>
            </w:tcMar>
          </w:tcPr>
          <w:p w14:paraId="53D86EFA" w14:textId="77777777" w:rsidR="0008170D" w:rsidRPr="00886515" w:rsidRDefault="0008170D" w:rsidP="0008170D">
            <w:pPr>
              <w:pStyle w:val="Tabletext"/>
              <w:jc w:val="center"/>
              <w:rPr>
                <w:sz w:val="22"/>
                <w:szCs w:val="22"/>
              </w:rPr>
            </w:pPr>
            <w:r w:rsidRPr="00886515">
              <w:rPr>
                <w:sz w:val="22"/>
                <w:szCs w:val="22"/>
              </w:rPr>
              <w:t>4.06%</w:t>
            </w:r>
          </w:p>
        </w:tc>
        <w:tc>
          <w:tcPr>
            <w:tcW w:w="1297" w:type="dxa"/>
            <w:shd w:val="clear" w:color="auto" w:fill="auto"/>
            <w:tcMar>
              <w:top w:w="28" w:type="dxa"/>
              <w:bottom w:w="28" w:type="dxa"/>
            </w:tcMar>
          </w:tcPr>
          <w:p w14:paraId="31265A5E" w14:textId="77777777" w:rsidR="0008170D" w:rsidRPr="00886515" w:rsidRDefault="0008170D" w:rsidP="0008170D">
            <w:pPr>
              <w:pStyle w:val="Tablebullet0"/>
              <w:numPr>
                <w:ilvl w:val="0"/>
                <w:numId w:val="0"/>
              </w:numPr>
              <w:ind w:left="426" w:hanging="284"/>
              <w:jc w:val="center"/>
              <w:rPr>
                <w:sz w:val="22"/>
                <w:szCs w:val="22"/>
              </w:rPr>
            </w:pPr>
            <w:r w:rsidRPr="00886515">
              <w:rPr>
                <w:sz w:val="22"/>
                <w:szCs w:val="22"/>
              </w:rPr>
              <w:t>12%</w:t>
            </w:r>
          </w:p>
        </w:tc>
        <w:tc>
          <w:tcPr>
            <w:tcW w:w="1418" w:type="dxa"/>
            <w:shd w:val="clear" w:color="auto" w:fill="auto"/>
            <w:tcMar>
              <w:top w:w="28" w:type="dxa"/>
              <w:bottom w:w="28" w:type="dxa"/>
            </w:tcMar>
          </w:tcPr>
          <w:p w14:paraId="2765910E" w14:textId="77777777" w:rsidR="0008170D" w:rsidRPr="00886515" w:rsidRDefault="0008170D" w:rsidP="0008170D">
            <w:pPr>
              <w:pStyle w:val="Tablebullet0"/>
              <w:numPr>
                <w:ilvl w:val="0"/>
                <w:numId w:val="0"/>
              </w:numPr>
              <w:ind w:left="426" w:hanging="284"/>
              <w:jc w:val="center"/>
              <w:rPr>
                <w:sz w:val="22"/>
                <w:szCs w:val="22"/>
              </w:rPr>
            </w:pPr>
            <w:r w:rsidRPr="00886515">
              <w:rPr>
                <w:sz w:val="22"/>
                <w:szCs w:val="22"/>
              </w:rPr>
              <w:t>7.49%</w:t>
            </w:r>
          </w:p>
        </w:tc>
        <w:tc>
          <w:tcPr>
            <w:tcW w:w="1276" w:type="dxa"/>
            <w:shd w:val="clear" w:color="auto" w:fill="auto"/>
            <w:tcMar>
              <w:top w:w="28" w:type="dxa"/>
              <w:bottom w:w="28" w:type="dxa"/>
            </w:tcMar>
          </w:tcPr>
          <w:p w14:paraId="7E7A95CE" w14:textId="77777777" w:rsidR="0008170D" w:rsidRPr="00886515" w:rsidRDefault="0008170D" w:rsidP="0008170D">
            <w:pPr>
              <w:pStyle w:val="Tablebullet0"/>
              <w:numPr>
                <w:ilvl w:val="0"/>
                <w:numId w:val="0"/>
              </w:numPr>
              <w:ind w:left="426" w:hanging="284"/>
              <w:jc w:val="center"/>
              <w:rPr>
                <w:sz w:val="22"/>
                <w:szCs w:val="22"/>
              </w:rPr>
            </w:pPr>
            <w:r w:rsidRPr="00886515">
              <w:rPr>
                <w:sz w:val="22"/>
                <w:szCs w:val="22"/>
              </w:rPr>
              <w:t>12%</w:t>
            </w:r>
          </w:p>
        </w:tc>
      </w:tr>
      <w:tr w:rsidR="0008170D" w:rsidRPr="00E95E8A" w14:paraId="3694218B" w14:textId="77777777" w:rsidTr="00B23C15">
        <w:tc>
          <w:tcPr>
            <w:tcW w:w="6237" w:type="dxa"/>
            <w:shd w:val="clear" w:color="auto" w:fill="auto"/>
            <w:tcMar>
              <w:top w:w="28" w:type="dxa"/>
              <w:bottom w:w="28" w:type="dxa"/>
            </w:tcMar>
          </w:tcPr>
          <w:p w14:paraId="77DF3FCA" w14:textId="77777777" w:rsidR="0008170D" w:rsidRPr="00886515" w:rsidRDefault="0008170D" w:rsidP="0008170D">
            <w:pPr>
              <w:pStyle w:val="Tabletext"/>
              <w:rPr>
                <w:sz w:val="22"/>
                <w:szCs w:val="22"/>
              </w:rPr>
            </w:pPr>
            <w:r w:rsidRPr="00886515">
              <w:rPr>
                <w:sz w:val="22"/>
                <w:szCs w:val="22"/>
              </w:rPr>
              <w:t>Women in leadership (SO/SES and equivalent)</w:t>
            </w:r>
          </w:p>
        </w:tc>
        <w:tc>
          <w:tcPr>
            <w:tcW w:w="1701" w:type="dxa"/>
            <w:shd w:val="clear" w:color="auto" w:fill="auto"/>
            <w:tcMar>
              <w:top w:w="28" w:type="dxa"/>
              <w:bottom w:w="28" w:type="dxa"/>
            </w:tcMar>
          </w:tcPr>
          <w:p w14:paraId="4A9F17BA" w14:textId="77777777" w:rsidR="0008170D" w:rsidRPr="00886515" w:rsidRDefault="0008170D" w:rsidP="0008170D">
            <w:pPr>
              <w:pStyle w:val="Tabletext"/>
              <w:jc w:val="center"/>
              <w:rPr>
                <w:sz w:val="22"/>
                <w:szCs w:val="22"/>
              </w:rPr>
            </w:pPr>
            <w:r w:rsidRPr="00886515">
              <w:rPr>
                <w:sz w:val="22"/>
                <w:szCs w:val="22"/>
              </w:rPr>
              <w:t>72.8%</w:t>
            </w:r>
          </w:p>
        </w:tc>
        <w:tc>
          <w:tcPr>
            <w:tcW w:w="1297" w:type="dxa"/>
            <w:shd w:val="clear" w:color="auto" w:fill="auto"/>
            <w:tcMar>
              <w:top w:w="28" w:type="dxa"/>
              <w:bottom w:w="28" w:type="dxa"/>
            </w:tcMar>
          </w:tcPr>
          <w:p w14:paraId="545E1169" w14:textId="77777777" w:rsidR="0008170D" w:rsidRPr="00886515" w:rsidRDefault="0008170D" w:rsidP="0008170D">
            <w:pPr>
              <w:pStyle w:val="Tablebullet0"/>
              <w:numPr>
                <w:ilvl w:val="0"/>
                <w:numId w:val="0"/>
              </w:numPr>
              <w:ind w:left="426" w:hanging="284"/>
              <w:jc w:val="center"/>
              <w:rPr>
                <w:sz w:val="22"/>
                <w:szCs w:val="22"/>
              </w:rPr>
            </w:pPr>
            <w:r w:rsidRPr="00886515">
              <w:rPr>
                <w:sz w:val="22"/>
                <w:szCs w:val="22"/>
              </w:rPr>
              <w:t>60%</w:t>
            </w:r>
          </w:p>
        </w:tc>
        <w:tc>
          <w:tcPr>
            <w:tcW w:w="1418" w:type="dxa"/>
            <w:shd w:val="clear" w:color="auto" w:fill="auto"/>
            <w:tcMar>
              <w:top w:w="28" w:type="dxa"/>
              <w:bottom w:w="28" w:type="dxa"/>
            </w:tcMar>
          </w:tcPr>
          <w:p w14:paraId="37CED6FD" w14:textId="77777777" w:rsidR="0008170D" w:rsidRPr="00886515" w:rsidRDefault="0008170D" w:rsidP="0008170D">
            <w:pPr>
              <w:pStyle w:val="Tablebullet0"/>
              <w:numPr>
                <w:ilvl w:val="0"/>
                <w:numId w:val="0"/>
              </w:numPr>
              <w:ind w:left="426" w:hanging="284"/>
              <w:jc w:val="center"/>
              <w:rPr>
                <w:sz w:val="22"/>
                <w:szCs w:val="22"/>
              </w:rPr>
            </w:pPr>
            <w:r w:rsidRPr="00886515">
              <w:rPr>
                <w:sz w:val="22"/>
                <w:szCs w:val="22"/>
              </w:rPr>
              <w:t>51.16%</w:t>
            </w:r>
          </w:p>
        </w:tc>
        <w:tc>
          <w:tcPr>
            <w:tcW w:w="1276" w:type="dxa"/>
            <w:shd w:val="clear" w:color="auto" w:fill="auto"/>
            <w:tcMar>
              <w:top w:w="28" w:type="dxa"/>
              <w:bottom w:w="28" w:type="dxa"/>
            </w:tcMar>
          </w:tcPr>
          <w:p w14:paraId="151A8CB1" w14:textId="77777777" w:rsidR="0008170D" w:rsidRPr="00886515" w:rsidRDefault="0008170D" w:rsidP="0008170D">
            <w:pPr>
              <w:pStyle w:val="Tablebullet0"/>
              <w:keepNext/>
              <w:numPr>
                <w:ilvl w:val="0"/>
                <w:numId w:val="0"/>
              </w:numPr>
              <w:ind w:left="426" w:hanging="284"/>
              <w:jc w:val="center"/>
              <w:rPr>
                <w:sz w:val="22"/>
                <w:szCs w:val="22"/>
              </w:rPr>
            </w:pPr>
            <w:r w:rsidRPr="00886515">
              <w:rPr>
                <w:sz w:val="22"/>
                <w:szCs w:val="22"/>
              </w:rPr>
              <w:t>50%</w:t>
            </w:r>
          </w:p>
        </w:tc>
      </w:tr>
    </w:tbl>
    <w:bookmarkEnd w:id="0"/>
    <w:p w14:paraId="5AAF5E47" w14:textId="7C815E7C" w:rsidR="003F3DDD" w:rsidRPr="00886515" w:rsidRDefault="003F3DDD" w:rsidP="003F3DDD">
      <w:r w:rsidRPr="00886515">
        <w:t xml:space="preserve">The department of Child Safety, Seniors and Disability Services was formed in mid-2023. It brought together two </w:t>
      </w:r>
      <w:r w:rsidR="0008170D" w:rsidRPr="00886515">
        <w:t>distinct</w:t>
      </w:r>
      <w:r w:rsidRPr="00886515">
        <w:t xml:space="preserve"> cohorts of frontline workers and their support structures.</w:t>
      </w:r>
    </w:p>
    <w:p w14:paraId="3D18D21C" w14:textId="0A12BC87" w:rsidR="003F3DDD" w:rsidRPr="00886515" w:rsidRDefault="003F3DDD" w:rsidP="003F3DDD">
      <w:r w:rsidRPr="00886515">
        <w:t>As the department adheres to the Queensland Government commitment to reflect the diversity of the communities we serve, Child Safety has a strong focus on employing Aboriginal and Torres Strait Islander people and in the Seniors and Disability Services areas the focus is on engaging employees with lived experience of disability.</w:t>
      </w:r>
    </w:p>
    <w:p w14:paraId="236508BB" w14:textId="77777777" w:rsidR="007C4E36" w:rsidRPr="00886515" w:rsidRDefault="007C4E36" w:rsidP="00886515">
      <w:pPr>
        <w:pStyle w:val="Caption"/>
        <w:framePr w:w="4494" w:h="273" w:hRule="exact" w:hSpace="180" w:wrap="around" w:vAnchor="text" w:hAnchor="page" w:x="17812" w:y="773"/>
        <w:suppressOverlap/>
        <w:rPr>
          <w:rFonts w:ascii="Arial" w:hAnsi="Arial" w:cs="Arial"/>
          <w:color w:val="auto"/>
          <w:sz w:val="22"/>
          <w:szCs w:val="22"/>
        </w:rPr>
      </w:pPr>
      <w:r w:rsidRPr="00886515">
        <w:rPr>
          <w:rFonts w:ascii="Arial" w:hAnsi="Arial" w:cs="Arial"/>
          <w:color w:val="auto"/>
          <w:sz w:val="22"/>
          <w:szCs w:val="22"/>
        </w:rPr>
        <w:t>*QPS benchmark taken from quarter 1 2023</w:t>
      </w:r>
    </w:p>
    <w:p w14:paraId="4D839332" w14:textId="05541A7E" w:rsidR="00F51667" w:rsidRPr="00886515" w:rsidRDefault="00F51667" w:rsidP="003F3DDD">
      <w:r w:rsidRPr="00886515">
        <w:t>The department is committed to supporting our diverse workforce to be able to bring their whole self to work, supporting people across the spectrum of cultural backgrounds, languages, sexualities and genders, disability, neurotypes and lived experience.</w:t>
      </w:r>
    </w:p>
    <w:p w14:paraId="2948D595" w14:textId="39F40263" w:rsidR="00E95E8A" w:rsidRPr="00E95E8A" w:rsidRDefault="00E95E8A" w:rsidP="00E95E8A">
      <w:pPr>
        <w:pStyle w:val="Heading2"/>
        <w:spacing w:after="120"/>
        <w:ind w:left="578" w:hanging="578"/>
        <w:rPr>
          <w:b w:val="0"/>
          <w:bCs w:val="0"/>
        </w:rPr>
      </w:pPr>
      <w:r w:rsidRPr="00E95E8A">
        <w:rPr>
          <w:b w:val="0"/>
          <w:bCs w:val="0"/>
        </w:rPr>
        <w:t>How we will measure success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10206"/>
      </w:tblGrid>
      <w:tr w:rsidR="00922D35" w:rsidRPr="00886515" w14:paraId="2F850105" w14:textId="77777777" w:rsidTr="007B05BC">
        <w:tc>
          <w:tcPr>
            <w:tcW w:w="5529" w:type="dxa"/>
          </w:tcPr>
          <w:p w14:paraId="6A367E8E" w14:textId="5A23C517" w:rsidR="00922D35" w:rsidRPr="00886515" w:rsidRDefault="00922D35" w:rsidP="007B05BC">
            <w:pPr>
              <w:shd w:val="clear" w:color="auto" w:fill="BCD7D6"/>
              <w:rPr>
                <w:b/>
                <w:bCs/>
              </w:rPr>
            </w:pPr>
            <w:r w:rsidRPr="00886515">
              <w:rPr>
                <w:b/>
                <w:bCs/>
              </w:rPr>
              <w:t>Improvement in Working for Queensland survey results, tracked annually on:</w:t>
            </w:r>
          </w:p>
          <w:p w14:paraId="47A20E16" w14:textId="77777777" w:rsidR="00922D35" w:rsidRPr="00886515" w:rsidRDefault="00922D35" w:rsidP="007261DD">
            <w:pPr>
              <w:pStyle w:val="ListParagraph"/>
              <w:numPr>
                <w:ilvl w:val="0"/>
                <w:numId w:val="9"/>
              </w:numPr>
              <w:spacing w:after="120"/>
              <w:ind w:left="466" w:hanging="426"/>
              <w:rPr>
                <w:rFonts w:ascii="Arial" w:hAnsi="Arial" w:cs="Arial"/>
                <w:sz w:val="22"/>
                <w:szCs w:val="22"/>
              </w:rPr>
            </w:pPr>
            <w:r w:rsidRPr="00886515">
              <w:rPr>
                <w:rFonts w:ascii="Arial" w:hAnsi="Arial" w:cs="Arial"/>
                <w:sz w:val="22"/>
                <w:szCs w:val="22"/>
              </w:rPr>
              <w:t xml:space="preserve">Employee engagement </w:t>
            </w:r>
          </w:p>
          <w:p w14:paraId="2F034F8A" w14:textId="77777777" w:rsidR="00922D35" w:rsidRPr="00886515" w:rsidRDefault="00922D35" w:rsidP="007261DD">
            <w:pPr>
              <w:pStyle w:val="ListParagraph"/>
              <w:numPr>
                <w:ilvl w:val="0"/>
                <w:numId w:val="9"/>
              </w:numPr>
              <w:spacing w:after="120"/>
              <w:ind w:left="466" w:hanging="426"/>
              <w:rPr>
                <w:rFonts w:ascii="Arial" w:hAnsi="Arial" w:cs="Arial"/>
                <w:sz w:val="22"/>
                <w:szCs w:val="22"/>
              </w:rPr>
            </w:pPr>
            <w:r w:rsidRPr="00886515">
              <w:rPr>
                <w:rFonts w:ascii="Arial" w:hAnsi="Arial" w:cs="Arial"/>
                <w:sz w:val="22"/>
                <w:szCs w:val="22"/>
              </w:rPr>
              <w:t>Leadership.</w:t>
            </w:r>
          </w:p>
          <w:p w14:paraId="2D0F2A0A" w14:textId="77777777" w:rsidR="00922D35" w:rsidRPr="00886515" w:rsidRDefault="00922D35" w:rsidP="007261DD">
            <w:pPr>
              <w:pStyle w:val="ListParagraph"/>
              <w:numPr>
                <w:ilvl w:val="0"/>
                <w:numId w:val="9"/>
              </w:numPr>
              <w:spacing w:after="120"/>
              <w:ind w:left="466" w:hanging="426"/>
              <w:rPr>
                <w:rFonts w:ascii="Arial" w:hAnsi="Arial" w:cs="Arial"/>
                <w:sz w:val="22"/>
                <w:szCs w:val="22"/>
              </w:rPr>
            </w:pPr>
            <w:r w:rsidRPr="00886515">
              <w:rPr>
                <w:rFonts w:ascii="Arial" w:hAnsi="Arial" w:cs="Arial"/>
                <w:sz w:val="22"/>
                <w:szCs w:val="22"/>
              </w:rPr>
              <w:t>Keeping you well</w:t>
            </w:r>
          </w:p>
          <w:p w14:paraId="39CC915B" w14:textId="77777777" w:rsidR="00922D35" w:rsidRPr="00886515" w:rsidRDefault="00922D35" w:rsidP="007261DD">
            <w:pPr>
              <w:pStyle w:val="ListParagraph"/>
              <w:numPr>
                <w:ilvl w:val="0"/>
                <w:numId w:val="9"/>
              </w:numPr>
              <w:spacing w:after="120"/>
              <w:ind w:left="466" w:hanging="426"/>
              <w:rPr>
                <w:rFonts w:ascii="Arial" w:hAnsi="Arial" w:cs="Arial"/>
                <w:sz w:val="22"/>
                <w:szCs w:val="22"/>
              </w:rPr>
            </w:pPr>
            <w:r w:rsidRPr="00886515">
              <w:rPr>
                <w:rFonts w:ascii="Arial" w:hAnsi="Arial" w:cs="Arial"/>
                <w:sz w:val="22"/>
                <w:szCs w:val="22"/>
              </w:rPr>
              <w:t xml:space="preserve">Social support </w:t>
            </w:r>
          </w:p>
          <w:p w14:paraId="77F13416" w14:textId="77777777" w:rsidR="00922D35" w:rsidRPr="00886515" w:rsidRDefault="00922D35" w:rsidP="007261DD">
            <w:pPr>
              <w:pStyle w:val="ListParagraph"/>
              <w:numPr>
                <w:ilvl w:val="0"/>
                <w:numId w:val="9"/>
              </w:numPr>
              <w:spacing w:after="120"/>
              <w:ind w:left="466" w:hanging="426"/>
              <w:rPr>
                <w:rFonts w:ascii="Arial" w:hAnsi="Arial" w:cs="Arial"/>
                <w:sz w:val="22"/>
                <w:szCs w:val="22"/>
              </w:rPr>
            </w:pPr>
            <w:r w:rsidRPr="00886515">
              <w:rPr>
                <w:rFonts w:ascii="Arial" w:hAnsi="Arial" w:cs="Arial"/>
                <w:sz w:val="22"/>
                <w:szCs w:val="22"/>
              </w:rPr>
              <w:t>Equitable treatment (diversity)</w:t>
            </w:r>
          </w:p>
          <w:p w14:paraId="641F81BD" w14:textId="58724013" w:rsidR="00922D35" w:rsidRPr="00886515" w:rsidRDefault="00922D35" w:rsidP="00E50993">
            <w:pPr>
              <w:pStyle w:val="ListParagraph"/>
              <w:numPr>
                <w:ilvl w:val="0"/>
                <w:numId w:val="9"/>
              </w:numPr>
              <w:spacing w:after="60"/>
              <w:ind w:left="465" w:hanging="425"/>
              <w:rPr>
                <w:rFonts w:ascii="Arial" w:hAnsi="Arial" w:cs="Arial"/>
                <w:sz w:val="22"/>
                <w:szCs w:val="22"/>
              </w:rPr>
            </w:pPr>
            <w:r w:rsidRPr="00886515">
              <w:rPr>
                <w:rFonts w:ascii="Arial" w:hAnsi="Arial" w:cs="Arial"/>
                <w:sz w:val="22"/>
                <w:szCs w:val="22"/>
              </w:rPr>
              <w:t>Flexible work.</w:t>
            </w:r>
          </w:p>
        </w:tc>
        <w:tc>
          <w:tcPr>
            <w:tcW w:w="10206" w:type="dxa"/>
            <w:tcMar>
              <w:left w:w="142" w:type="dxa"/>
            </w:tcMar>
          </w:tcPr>
          <w:p w14:paraId="27C1187D" w14:textId="6C81BFF7" w:rsidR="00922D35" w:rsidRPr="00886515" w:rsidRDefault="00922D35" w:rsidP="007B05BC">
            <w:pPr>
              <w:shd w:val="clear" w:color="auto" w:fill="BCD7D6"/>
              <w:spacing w:after="0"/>
              <w:rPr>
                <w:b/>
                <w:bCs/>
              </w:rPr>
            </w:pPr>
            <w:r w:rsidRPr="00886515">
              <w:rPr>
                <w:b/>
                <w:bCs/>
              </w:rPr>
              <w:t>Increased results in the following measures:</w:t>
            </w:r>
          </w:p>
          <w:p w14:paraId="48AE60B7" w14:textId="77777777" w:rsidR="007B05BC" w:rsidRPr="00886515" w:rsidRDefault="007B05BC" w:rsidP="007B05BC">
            <w:pPr>
              <w:shd w:val="clear" w:color="auto" w:fill="BCD7D6"/>
            </w:pPr>
          </w:p>
          <w:p w14:paraId="35D52B4F" w14:textId="77777777" w:rsidR="00922D35" w:rsidRPr="00886515" w:rsidRDefault="00922D35" w:rsidP="006B4BCB">
            <w:pPr>
              <w:pStyle w:val="ListParagraph"/>
              <w:numPr>
                <w:ilvl w:val="0"/>
                <w:numId w:val="9"/>
              </w:numPr>
              <w:spacing w:after="60"/>
              <w:ind w:left="465" w:hanging="425"/>
              <w:rPr>
                <w:rFonts w:ascii="Arial" w:hAnsi="Arial" w:cs="Arial"/>
                <w:sz w:val="22"/>
                <w:szCs w:val="22"/>
              </w:rPr>
            </w:pPr>
            <w:r w:rsidRPr="00886515">
              <w:rPr>
                <w:rFonts w:ascii="Arial" w:hAnsi="Arial" w:cs="Arial"/>
                <w:sz w:val="22"/>
                <w:szCs w:val="22"/>
              </w:rPr>
              <w:t>proportion of staff from diverse backgrounds employed in decision making roles — by June 2024</w:t>
            </w:r>
          </w:p>
          <w:p w14:paraId="4DEB3C82" w14:textId="77777777" w:rsidR="00922D35" w:rsidRPr="00886515" w:rsidRDefault="00922D35" w:rsidP="006B4BCB">
            <w:pPr>
              <w:pStyle w:val="ListParagraph"/>
              <w:numPr>
                <w:ilvl w:val="0"/>
                <w:numId w:val="9"/>
              </w:numPr>
              <w:spacing w:after="60"/>
              <w:ind w:left="465" w:hanging="425"/>
              <w:rPr>
                <w:rFonts w:ascii="Arial" w:hAnsi="Arial" w:cs="Arial"/>
                <w:sz w:val="22"/>
                <w:szCs w:val="22"/>
              </w:rPr>
            </w:pPr>
            <w:r w:rsidRPr="00886515">
              <w:rPr>
                <w:rFonts w:ascii="Arial" w:hAnsi="Arial" w:cs="Arial"/>
                <w:sz w:val="22"/>
                <w:szCs w:val="22"/>
              </w:rPr>
              <w:t xml:space="preserve">number of job applicants from diversity target group — tracked </w:t>
            </w:r>
            <w:proofErr w:type="gramStart"/>
            <w:r w:rsidRPr="00886515">
              <w:rPr>
                <w:rFonts w:ascii="Arial" w:hAnsi="Arial" w:cs="Arial"/>
                <w:sz w:val="22"/>
                <w:szCs w:val="22"/>
              </w:rPr>
              <w:t>quarterly</w:t>
            </w:r>
            <w:proofErr w:type="gramEnd"/>
          </w:p>
          <w:p w14:paraId="547D13A7" w14:textId="77777777" w:rsidR="00922D35" w:rsidRPr="00886515" w:rsidRDefault="00922D35" w:rsidP="006B4BCB">
            <w:pPr>
              <w:pStyle w:val="ListParagraph"/>
              <w:numPr>
                <w:ilvl w:val="0"/>
                <w:numId w:val="9"/>
              </w:numPr>
              <w:spacing w:after="60"/>
              <w:ind w:left="465" w:hanging="425"/>
              <w:rPr>
                <w:rFonts w:ascii="Arial" w:hAnsi="Arial" w:cs="Arial"/>
                <w:sz w:val="22"/>
                <w:szCs w:val="22"/>
              </w:rPr>
            </w:pPr>
            <w:r w:rsidRPr="00886515">
              <w:rPr>
                <w:rFonts w:ascii="Arial" w:hAnsi="Arial" w:cs="Arial"/>
                <w:sz w:val="22"/>
                <w:szCs w:val="22"/>
              </w:rPr>
              <w:t xml:space="preserve">retention rate of staff in diversity target groups — tracked </w:t>
            </w:r>
            <w:proofErr w:type="gramStart"/>
            <w:r w:rsidRPr="00886515">
              <w:rPr>
                <w:rFonts w:ascii="Arial" w:hAnsi="Arial" w:cs="Arial"/>
                <w:sz w:val="22"/>
                <w:szCs w:val="22"/>
              </w:rPr>
              <w:t>quarterly</w:t>
            </w:r>
            <w:proofErr w:type="gramEnd"/>
          </w:p>
          <w:p w14:paraId="5D67D1FF" w14:textId="77777777" w:rsidR="00922D35" w:rsidRPr="00886515" w:rsidRDefault="00922D35" w:rsidP="006B4BCB">
            <w:pPr>
              <w:pStyle w:val="ListParagraph"/>
              <w:numPr>
                <w:ilvl w:val="0"/>
                <w:numId w:val="9"/>
              </w:numPr>
              <w:spacing w:after="60"/>
              <w:ind w:left="465" w:hanging="425"/>
              <w:rPr>
                <w:rFonts w:ascii="Arial" w:hAnsi="Arial" w:cs="Arial"/>
                <w:sz w:val="22"/>
                <w:szCs w:val="22"/>
              </w:rPr>
            </w:pPr>
            <w:r w:rsidRPr="00886515">
              <w:rPr>
                <w:rFonts w:ascii="Arial" w:hAnsi="Arial" w:cs="Arial"/>
                <w:sz w:val="22"/>
                <w:szCs w:val="22"/>
              </w:rPr>
              <w:t xml:space="preserve">percentage of women in leadership aligns with total proportion of women — tracked </w:t>
            </w:r>
            <w:proofErr w:type="gramStart"/>
            <w:r w:rsidRPr="00886515">
              <w:rPr>
                <w:rFonts w:ascii="Arial" w:hAnsi="Arial" w:cs="Arial"/>
                <w:sz w:val="22"/>
                <w:szCs w:val="22"/>
              </w:rPr>
              <w:t>annually</w:t>
            </w:r>
            <w:proofErr w:type="gramEnd"/>
          </w:p>
          <w:p w14:paraId="72F005CA" w14:textId="77777777" w:rsidR="00922D35" w:rsidRPr="00886515" w:rsidRDefault="00922D35" w:rsidP="00E95E8A">
            <w:pPr>
              <w:pStyle w:val="ListParagraph"/>
              <w:numPr>
                <w:ilvl w:val="0"/>
                <w:numId w:val="9"/>
              </w:numPr>
              <w:spacing w:after="120"/>
              <w:ind w:left="466" w:hanging="426"/>
              <w:rPr>
                <w:rFonts w:ascii="Arial" w:hAnsi="Arial" w:cs="Arial"/>
                <w:sz w:val="22"/>
                <w:szCs w:val="22"/>
              </w:rPr>
            </w:pPr>
            <w:r w:rsidRPr="00886515">
              <w:rPr>
                <w:rFonts w:ascii="Arial" w:hAnsi="Arial" w:cs="Arial"/>
                <w:sz w:val="22"/>
                <w:szCs w:val="22"/>
              </w:rPr>
              <w:t>progress towards departmental diversity targets. — tracked quarterly</w:t>
            </w:r>
          </w:p>
        </w:tc>
      </w:tr>
    </w:tbl>
    <w:p w14:paraId="338461E1" w14:textId="77777777" w:rsidR="00E95E8A" w:rsidRPr="00E95E8A" w:rsidRDefault="00E95E8A" w:rsidP="00E95E8A">
      <w:pPr>
        <w:pStyle w:val="Heading2"/>
        <w:spacing w:after="120"/>
        <w:rPr>
          <w:b w:val="0"/>
          <w:bCs w:val="0"/>
        </w:rPr>
      </w:pPr>
      <w:r w:rsidRPr="00E95E8A">
        <w:rPr>
          <w:b w:val="0"/>
          <w:bCs w:val="0"/>
        </w:rPr>
        <w:t>Links to other plans and strategies:</w:t>
      </w:r>
    </w:p>
    <w:p w14:paraId="78ABB327" w14:textId="77777777" w:rsidR="00E95E8A" w:rsidRPr="00886515" w:rsidRDefault="00E95E8A" w:rsidP="00E95E8A">
      <w:r w:rsidRPr="00886515">
        <w:t>This plan has links to the following department and whole of government documents, which shape the way we work towards a more inclusive workforce.</w:t>
      </w:r>
    </w:p>
    <w:p w14:paraId="62DEDB1D" w14:textId="77777777" w:rsidR="00E95E8A" w:rsidRPr="00886515" w:rsidRDefault="00E95E8A" w:rsidP="00E95E8A">
      <w:pPr>
        <w:pStyle w:val="ListParagraph"/>
        <w:numPr>
          <w:ilvl w:val="0"/>
          <w:numId w:val="8"/>
        </w:numPr>
        <w:spacing w:after="160" w:line="259" w:lineRule="auto"/>
        <w:rPr>
          <w:rFonts w:ascii="Arial" w:hAnsi="Arial" w:cs="Arial"/>
          <w:sz w:val="22"/>
          <w:szCs w:val="22"/>
        </w:rPr>
        <w:sectPr w:rsidR="00E95E8A" w:rsidRPr="00886515" w:rsidSect="009A25D1">
          <w:headerReference w:type="default" r:id="rId7"/>
          <w:footerReference w:type="default" r:id="rId8"/>
          <w:headerReference w:type="first" r:id="rId9"/>
          <w:footerReference w:type="first" r:id="rId10"/>
          <w:pgSz w:w="23800" w:h="16820" w:orient="landscape"/>
          <w:pgMar w:top="1701" w:right="1418" w:bottom="1418" w:left="1418" w:header="709" w:footer="567" w:gutter="0"/>
          <w:cols w:space="708"/>
          <w:titlePg/>
          <w:docGrid w:linePitch="360"/>
        </w:sectPr>
      </w:pPr>
    </w:p>
    <w:p w14:paraId="6E04C4C5" w14:textId="56D405FB" w:rsidR="00E95E8A" w:rsidRPr="00886515" w:rsidRDefault="00E95E8A" w:rsidP="00E95E8A">
      <w:pPr>
        <w:pStyle w:val="ListParagraph"/>
        <w:numPr>
          <w:ilvl w:val="0"/>
          <w:numId w:val="8"/>
        </w:numPr>
        <w:spacing w:after="160" w:line="259" w:lineRule="auto"/>
        <w:rPr>
          <w:rFonts w:ascii="Arial" w:hAnsi="Arial" w:cs="Arial"/>
          <w:sz w:val="22"/>
          <w:szCs w:val="22"/>
        </w:rPr>
      </w:pPr>
      <w:r w:rsidRPr="00886515">
        <w:rPr>
          <w:rFonts w:ascii="Arial" w:hAnsi="Arial" w:cs="Arial"/>
          <w:sz w:val="22"/>
          <w:szCs w:val="22"/>
        </w:rPr>
        <w:t xml:space="preserve">Department of Child Safety, Seniors and Disability Services Inclusion Strategy 2023–26 </w:t>
      </w:r>
      <w:r w:rsidR="002F5085" w:rsidRPr="00886515">
        <w:rPr>
          <w:rFonts w:ascii="Arial" w:hAnsi="Arial" w:cs="Arial"/>
          <w:sz w:val="22"/>
          <w:szCs w:val="22"/>
        </w:rPr>
        <w:br/>
      </w:r>
      <w:r w:rsidRPr="00886515">
        <w:rPr>
          <w:rFonts w:ascii="Arial" w:hAnsi="Arial" w:cs="Arial"/>
          <w:sz w:val="22"/>
          <w:szCs w:val="22"/>
        </w:rPr>
        <w:t>(in development)</w:t>
      </w:r>
    </w:p>
    <w:p w14:paraId="47FD9F18" w14:textId="77777777" w:rsidR="00E95E8A" w:rsidRPr="00886515" w:rsidRDefault="00000000" w:rsidP="00E95E8A">
      <w:pPr>
        <w:pStyle w:val="ListParagraph"/>
        <w:numPr>
          <w:ilvl w:val="0"/>
          <w:numId w:val="8"/>
        </w:numPr>
        <w:spacing w:after="160" w:line="259" w:lineRule="auto"/>
        <w:rPr>
          <w:rFonts w:ascii="Arial" w:hAnsi="Arial" w:cs="Arial"/>
          <w:sz w:val="22"/>
          <w:szCs w:val="22"/>
        </w:rPr>
      </w:pPr>
      <w:hyperlink r:id="rId11" w:history="1">
        <w:r w:rsidR="00E95E8A" w:rsidRPr="00886515">
          <w:rPr>
            <w:rStyle w:val="Hyperlink"/>
            <w:rFonts w:ascii="Arial" w:hAnsi="Arial" w:cs="Arial"/>
            <w:sz w:val="22"/>
            <w:szCs w:val="22"/>
          </w:rPr>
          <w:t>Department of Child Safety, Seniors and Disability Services Strategic Plan 2021–2025</w:t>
        </w:r>
      </w:hyperlink>
    </w:p>
    <w:p w14:paraId="67CD3A5A" w14:textId="77777777" w:rsidR="00E95E8A" w:rsidRPr="00886515" w:rsidRDefault="00000000" w:rsidP="00E95E8A">
      <w:pPr>
        <w:pStyle w:val="ListParagraph"/>
        <w:numPr>
          <w:ilvl w:val="0"/>
          <w:numId w:val="8"/>
        </w:numPr>
        <w:spacing w:after="160" w:line="259" w:lineRule="auto"/>
        <w:rPr>
          <w:rFonts w:ascii="Arial" w:hAnsi="Arial" w:cs="Arial"/>
          <w:sz w:val="22"/>
          <w:szCs w:val="22"/>
        </w:rPr>
      </w:pPr>
      <w:hyperlink r:id="rId12" w:history="1">
        <w:r w:rsidR="00E95E8A" w:rsidRPr="00886515">
          <w:rPr>
            <w:rStyle w:val="Hyperlink"/>
            <w:rFonts w:ascii="Arial" w:hAnsi="Arial" w:cs="Arial"/>
            <w:sz w:val="22"/>
            <w:szCs w:val="22"/>
          </w:rPr>
          <w:t>DCSSDS Disability Service Plan 2023–2026</w:t>
        </w:r>
      </w:hyperlink>
    </w:p>
    <w:p w14:paraId="47447858" w14:textId="59397BEE" w:rsidR="00E95E8A" w:rsidRPr="00886515" w:rsidRDefault="00000000" w:rsidP="00E95E8A">
      <w:pPr>
        <w:pStyle w:val="ListParagraph"/>
        <w:numPr>
          <w:ilvl w:val="0"/>
          <w:numId w:val="8"/>
        </w:numPr>
        <w:spacing w:after="160" w:line="259" w:lineRule="auto"/>
        <w:rPr>
          <w:rFonts w:ascii="Arial" w:hAnsi="Arial" w:cs="Arial"/>
          <w:sz w:val="22"/>
          <w:szCs w:val="22"/>
        </w:rPr>
      </w:pPr>
      <w:hyperlink r:id="rId13" w:history="1">
        <w:r w:rsidR="00E95E8A" w:rsidRPr="00886515">
          <w:rPr>
            <w:rStyle w:val="Hyperlink"/>
            <w:rFonts w:ascii="Arial" w:hAnsi="Arial" w:cs="Arial"/>
            <w:sz w:val="22"/>
            <w:szCs w:val="22"/>
          </w:rPr>
          <w:t>Respectfully Journey Together: Aboriginal and Torres Strait Islander Cultural Capability Plan</w:t>
        </w:r>
      </w:hyperlink>
    </w:p>
    <w:p w14:paraId="28C9A628" w14:textId="77777777" w:rsidR="00E95E8A" w:rsidRPr="00886515" w:rsidRDefault="00E95E8A" w:rsidP="00E95E8A">
      <w:pPr>
        <w:pStyle w:val="ListParagraph"/>
        <w:numPr>
          <w:ilvl w:val="0"/>
          <w:numId w:val="8"/>
        </w:numPr>
        <w:spacing w:after="160" w:line="259" w:lineRule="auto"/>
        <w:rPr>
          <w:rFonts w:ascii="Arial" w:hAnsi="Arial" w:cs="Arial"/>
          <w:sz w:val="22"/>
          <w:szCs w:val="22"/>
        </w:rPr>
      </w:pPr>
      <w:r w:rsidRPr="00886515">
        <w:rPr>
          <w:rFonts w:ascii="Arial" w:hAnsi="Arial" w:cs="Arial"/>
          <w:sz w:val="22"/>
          <w:szCs w:val="22"/>
        </w:rPr>
        <w:t>Strategic Workforce Plan 2022–2025</w:t>
      </w:r>
    </w:p>
    <w:p w14:paraId="5AF80C5E" w14:textId="77777777" w:rsidR="00E95E8A" w:rsidRPr="00886515" w:rsidRDefault="00000000" w:rsidP="00E95E8A">
      <w:pPr>
        <w:pStyle w:val="ListParagraph"/>
        <w:numPr>
          <w:ilvl w:val="0"/>
          <w:numId w:val="8"/>
        </w:numPr>
        <w:spacing w:after="160" w:line="259" w:lineRule="auto"/>
        <w:rPr>
          <w:rFonts w:ascii="Arial" w:hAnsi="Arial" w:cs="Arial"/>
          <w:sz w:val="22"/>
          <w:szCs w:val="22"/>
        </w:rPr>
      </w:pPr>
      <w:hyperlink r:id="rId14" w:history="1">
        <w:r w:rsidR="00E95E8A" w:rsidRPr="00886515">
          <w:rPr>
            <w:rStyle w:val="Hyperlink"/>
            <w:rFonts w:ascii="Arial" w:hAnsi="Arial" w:cs="Arial"/>
            <w:sz w:val="22"/>
            <w:szCs w:val="22"/>
          </w:rPr>
          <w:t>Queensland Public Sector Inclusion and diversity strategy 2021–2025</w:t>
        </w:r>
      </w:hyperlink>
    </w:p>
    <w:p w14:paraId="78FF690E" w14:textId="77777777" w:rsidR="00E95E8A" w:rsidRPr="00886515" w:rsidRDefault="00E95E8A" w:rsidP="00E95E8A">
      <w:pPr>
        <w:pStyle w:val="ListParagraph"/>
        <w:numPr>
          <w:ilvl w:val="0"/>
          <w:numId w:val="8"/>
        </w:numPr>
        <w:spacing w:after="160" w:line="259" w:lineRule="auto"/>
        <w:rPr>
          <w:rFonts w:ascii="Arial" w:hAnsi="Arial" w:cs="Arial"/>
          <w:sz w:val="22"/>
          <w:szCs w:val="22"/>
        </w:rPr>
      </w:pPr>
      <w:r w:rsidRPr="00886515">
        <w:rPr>
          <w:rFonts w:ascii="Arial" w:hAnsi="Arial" w:cs="Arial"/>
          <w:sz w:val="22"/>
          <w:szCs w:val="22"/>
        </w:rPr>
        <w:t>Disabling the barriers to employment in the Queensland public sector Implementation Plan 2023</w:t>
      </w:r>
    </w:p>
    <w:p w14:paraId="796E4867" w14:textId="77777777" w:rsidR="00E95E8A" w:rsidRPr="00886515" w:rsidRDefault="00000000" w:rsidP="00E95E8A">
      <w:pPr>
        <w:pStyle w:val="ListParagraph"/>
        <w:numPr>
          <w:ilvl w:val="0"/>
          <w:numId w:val="8"/>
        </w:numPr>
        <w:spacing w:after="120"/>
        <w:rPr>
          <w:rStyle w:val="Hyperlink"/>
          <w:rFonts w:ascii="Arial" w:hAnsi="Arial" w:cs="Arial"/>
          <w:color w:val="auto"/>
          <w:sz w:val="22"/>
          <w:szCs w:val="22"/>
          <w:u w:val="none"/>
        </w:rPr>
      </w:pPr>
      <w:hyperlink r:id="rId15" w:history="1">
        <w:r w:rsidR="00E95E8A" w:rsidRPr="00886515">
          <w:rPr>
            <w:rStyle w:val="Hyperlink"/>
            <w:rFonts w:ascii="Arial" w:hAnsi="Arial" w:cs="Arial"/>
            <w:spacing w:val="12"/>
            <w:sz w:val="22"/>
            <w:szCs w:val="22"/>
            <w:lang w:val="en-US"/>
          </w:rPr>
          <w:t>Queensland public sector LGBTIQ+ Action plan 2023–2025</w:t>
        </w:r>
      </w:hyperlink>
    </w:p>
    <w:p w14:paraId="16DC7D40" w14:textId="77777777" w:rsidR="00E95E8A" w:rsidRPr="00886515" w:rsidRDefault="00000000" w:rsidP="00E95E8A">
      <w:pPr>
        <w:pStyle w:val="ListParagraph"/>
        <w:numPr>
          <w:ilvl w:val="0"/>
          <w:numId w:val="8"/>
        </w:numPr>
        <w:spacing w:after="120"/>
        <w:rPr>
          <w:rFonts w:ascii="Arial" w:hAnsi="Arial" w:cs="Arial"/>
          <w:sz w:val="22"/>
          <w:szCs w:val="22"/>
        </w:rPr>
      </w:pPr>
      <w:hyperlink r:id="rId16" w:history="1">
        <w:r w:rsidR="00E95E8A" w:rsidRPr="00886515">
          <w:rPr>
            <w:rStyle w:val="Hyperlink"/>
            <w:rFonts w:ascii="Arial" w:hAnsi="Arial" w:cs="Arial"/>
            <w:sz w:val="22"/>
            <w:szCs w:val="22"/>
          </w:rPr>
          <w:t>Queensland Multicultural Action Plan 2022–23 to 2023–24</w:t>
        </w:r>
      </w:hyperlink>
    </w:p>
    <w:p w14:paraId="23BDAE09" w14:textId="77777777" w:rsidR="00E95E8A" w:rsidRPr="00886515" w:rsidRDefault="00000000" w:rsidP="00E95E8A">
      <w:pPr>
        <w:pStyle w:val="ListParagraph"/>
        <w:numPr>
          <w:ilvl w:val="0"/>
          <w:numId w:val="8"/>
        </w:numPr>
        <w:spacing w:after="120"/>
        <w:rPr>
          <w:rFonts w:ascii="Arial" w:hAnsi="Arial" w:cs="Arial"/>
          <w:sz w:val="22"/>
          <w:szCs w:val="22"/>
        </w:rPr>
      </w:pPr>
      <w:hyperlink r:id="rId17" w:history="1">
        <w:r w:rsidR="00E95E8A" w:rsidRPr="00886515">
          <w:rPr>
            <w:rStyle w:val="Hyperlink"/>
            <w:rFonts w:ascii="Arial" w:hAnsi="Arial" w:cs="Arial"/>
            <w:sz w:val="22"/>
            <w:szCs w:val="22"/>
          </w:rPr>
          <w:t>Queensland Women’s Strategy 2022–27</w:t>
        </w:r>
      </w:hyperlink>
    </w:p>
    <w:p w14:paraId="1A88CB31" w14:textId="77777777" w:rsidR="00E95E8A" w:rsidRPr="00886515" w:rsidRDefault="00E95E8A" w:rsidP="003F3DDD">
      <w:pPr>
        <w:rPr>
          <w:lang w:eastAsia="en-AU"/>
        </w:rPr>
        <w:sectPr w:rsidR="00E95E8A" w:rsidRPr="00886515" w:rsidSect="0008170D">
          <w:type w:val="continuous"/>
          <w:pgSz w:w="23800" w:h="16820" w:orient="landscape"/>
          <w:pgMar w:top="1701" w:right="1418" w:bottom="1418" w:left="1418" w:header="709" w:footer="567" w:gutter="0"/>
          <w:cols w:num="2" w:space="552"/>
          <w:titlePg/>
          <w:docGrid w:linePitch="360"/>
        </w:sectPr>
      </w:pPr>
    </w:p>
    <w:p w14:paraId="219DFD91" w14:textId="77777777" w:rsidR="00B072B0" w:rsidRDefault="00B072B0" w:rsidP="00E95E8A">
      <w:pPr>
        <w:rPr>
          <w:sz w:val="20"/>
          <w:szCs w:val="20"/>
        </w:rPr>
      </w:pPr>
    </w:p>
    <w:p w14:paraId="1816FA57" w14:textId="4A93C29E" w:rsidR="00E95E8A" w:rsidRPr="00886515" w:rsidRDefault="0008170D" w:rsidP="00E95E8A">
      <w:r w:rsidRPr="00886515">
        <w:lastRenderedPageBreak/>
        <w:t>This plan provides the foundations for future work. These actions will be reviewed and refreshed annually to ensure they remain relevant and appropriate to the changing needs of the department.</w:t>
      </w:r>
    </w:p>
    <w:tbl>
      <w:tblPr>
        <w:tblStyle w:val="TableGrid"/>
        <w:tblW w:w="5006" w:type="pct"/>
        <w:tblInd w:w="-5" w:type="dxa"/>
        <w:tblLayout w:type="fixed"/>
        <w:tblLook w:val="04A0" w:firstRow="1" w:lastRow="0" w:firstColumn="1" w:lastColumn="0" w:noHBand="0" w:noVBand="1"/>
        <w:tblCaption w:val="Inclusion action plan for DCSSDS"/>
        <w:tblDescription w:val="Outlines the planned steps on the department's inclusion journey for 2023–24."/>
      </w:tblPr>
      <w:tblGrid>
        <w:gridCol w:w="427"/>
        <w:gridCol w:w="2975"/>
        <w:gridCol w:w="13326"/>
        <w:gridCol w:w="2266"/>
        <w:gridCol w:w="1968"/>
        <w:gridCol w:w="17"/>
      </w:tblGrid>
      <w:tr w:rsidR="00B814C9" w:rsidRPr="00E81711" w14:paraId="03E2AE2C" w14:textId="77777777" w:rsidTr="00B072B0">
        <w:trPr>
          <w:trHeight w:val="398"/>
          <w:tblHeader/>
        </w:trPr>
        <w:tc>
          <w:tcPr>
            <w:tcW w:w="102" w:type="pct"/>
            <w:tcBorders>
              <w:top w:val="nil"/>
              <w:bottom w:val="single" w:sz="4" w:space="0" w:color="auto"/>
            </w:tcBorders>
            <w:shd w:val="clear" w:color="auto" w:fill="000000" w:themeFill="text1"/>
            <w:tcMar>
              <w:left w:w="28" w:type="dxa"/>
              <w:right w:w="28" w:type="dxa"/>
            </w:tcMar>
          </w:tcPr>
          <w:p w14:paraId="6FDD880B" w14:textId="77777777" w:rsidR="00B814C9" w:rsidRDefault="00B814C9" w:rsidP="0008170D">
            <w:pPr>
              <w:spacing w:after="0"/>
              <w:rPr>
                <w:b/>
                <w:bCs/>
                <w:color w:val="FFFFFF" w:themeColor="background1"/>
              </w:rPr>
            </w:pPr>
          </w:p>
        </w:tc>
        <w:tc>
          <w:tcPr>
            <w:tcW w:w="709" w:type="pct"/>
            <w:tcBorders>
              <w:top w:val="nil"/>
              <w:bottom w:val="single" w:sz="4" w:space="0" w:color="auto"/>
            </w:tcBorders>
            <w:shd w:val="clear" w:color="auto" w:fill="000000" w:themeFill="text1"/>
            <w:tcMar>
              <w:top w:w="28" w:type="dxa"/>
              <w:left w:w="28" w:type="dxa"/>
              <w:bottom w:w="28" w:type="dxa"/>
              <w:right w:w="28" w:type="dxa"/>
            </w:tcMar>
            <w:vAlign w:val="center"/>
          </w:tcPr>
          <w:p w14:paraId="20B900F0" w14:textId="77777777" w:rsidR="00B814C9" w:rsidRPr="00E81711" w:rsidRDefault="00B814C9" w:rsidP="0008170D">
            <w:pPr>
              <w:spacing w:after="0"/>
              <w:rPr>
                <w:b/>
                <w:bCs/>
                <w:color w:val="FFFFFF" w:themeColor="background1"/>
              </w:rPr>
            </w:pPr>
            <w:r>
              <w:rPr>
                <w:b/>
                <w:bCs/>
                <w:color w:val="FFFFFF" w:themeColor="background1"/>
              </w:rPr>
              <w:t>Goal</w:t>
            </w:r>
          </w:p>
        </w:tc>
        <w:tc>
          <w:tcPr>
            <w:tcW w:w="3176" w:type="pct"/>
            <w:tcBorders>
              <w:top w:val="nil"/>
              <w:bottom w:val="single" w:sz="4" w:space="0" w:color="auto"/>
            </w:tcBorders>
            <w:shd w:val="clear" w:color="auto" w:fill="000000" w:themeFill="text1"/>
            <w:tcMar>
              <w:top w:w="28" w:type="dxa"/>
              <w:left w:w="28" w:type="dxa"/>
              <w:bottom w:w="28" w:type="dxa"/>
              <w:right w:w="28" w:type="dxa"/>
            </w:tcMar>
            <w:vAlign w:val="center"/>
          </w:tcPr>
          <w:p w14:paraId="7465C33D" w14:textId="77777777" w:rsidR="00B814C9" w:rsidRPr="00E81711" w:rsidRDefault="00B814C9" w:rsidP="0008170D">
            <w:pPr>
              <w:spacing w:after="0"/>
              <w:rPr>
                <w:b/>
                <w:bCs/>
                <w:color w:val="FFFFFF" w:themeColor="background1"/>
              </w:rPr>
            </w:pPr>
            <w:r w:rsidRPr="00E81711">
              <w:rPr>
                <w:b/>
                <w:bCs/>
                <w:color w:val="FFFFFF" w:themeColor="background1"/>
              </w:rPr>
              <w:t>Action</w:t>
            </w:r>
            <w:r>
              <w:rPr>
                <w:b/>
                <w:bCs/>
                <w:color w:val="FFFFFF" w:themeColor="background1"/>
              </w:rPr>
              <w:t>s</w:t>
            </w:r>
          </w:p>
        </w:tc>
        <w:tc>
          <w:tcPr>
            <w:tcW w:w="540" w:type="pct"/>
            <w:tcBorders>
              <w:top w:val="nil"/>
              <w:bottom w:val="single" w:sz="4" w:space="0" w:color="auto"/>
            </w:tcBorders>
            <w:shd w:val="clear" w:color="auto" w:fill="000000" w:themeFill="text1"/>
            <w:tcMar>
              <w:top w:w="28" w:type="dxa"/>
              <w:left w:w="28" w:type="dxa"/>
              <w:bottom w:w="28" w:type="dxa"/>
              <w:right w:w="28" w:type="dxa"/>
            </w:tcMar>
            <w:vAlign w:val="center"/>
          </w:tcPr>
          <w:p w14:paraId="7EFFE302" w14:textId="77777777" w:rsidR="00B814C9" w:rsidRPr="00E81711" w:rsidRDefault="00B814C9" w:rsidP="0008170D">
            <w:pPr>
              <w:spacing w:after="0"/>
              <w:rPr>
                <w:b/>
                <w:bCs/>
                <w:color w:val="FFFFFF" w:themeColor="background1"/>
              </w:rPr>
            </w:pPr>
            <w:r>
              <w:rPr>
                <w:b/>
                <w:bCs/>
                <w:color w:val="FFFFFF" w:themeColor="background1"/>
              </w:rPr>
              <w:t>Outcomes</w:t>
            </w:r>
          </w:p>
        </w:tc>
        <w:tc>
          <w:tcPr>
            <w:tcW w:w="473" w:type="pct"/>
            <w:gridSpan w:val="2"/>
            <w:tcBorders>
              <w:top w:val="nil"/>
              <w:bottom w:val="single" w:sz="4" w:space="0" w:color="auto"/>
            </w:tcBorders>
            <w:shd w:val="clear" w:color="auto" w:fill="000000" w:themeFill="text1"/>
            <w:tcMar>
              <w:top w:w="28" w:type="dxa"/>
              <w:left w:w="28" w:type="dxa"/>
              <w:bottom w:w="28" w:type="dxa"/>
              <w:right w:w="28" w:type="dxa"/>
            </w:tcMar>
            <w:vAlign w:val="center"/>
          </w:tcPr>
          <w:p w14:paraId="6568E33E" w14:textId="77777777" w:rsidR="00B814C9" w:rsidRPr="00E81711" w:rsidRDefault="00B814C9" w:rsidP="0008170D">
            <w:pPr>
              <w:spacing w:after="0"/>
              <w:rPr>
                <w:b/>
                <w:bCs/>
                <w:color w:val="FFFFFF" w:themeColor="background1"/>
              </w:rPr>
            </w:pPr>
            <w:r>
              <w:rPr>
                <w:b/>
                <w:bCs/>
                <w:color w:val="FFFFFF" w:themeColor="background1"/>
              </w:rPr>
              <w:t>Led by</w:t>
            </w:r>
          </w:p>
        </w:tc>
      </w:tr>
      <w:tr w:rsidR="003C11E1" w:rsidRPr="00E81711" w14:paraId="18748F50" w14:textId="77777777" w:rsidTr="00B814C9">
        <w:trPr>
          <w:gridAfter w:val="1"/>
          <w:wAfter w:w="4" w:type="pct"/>
          <w:trHeight w:val="377"/>
        </w:trPr>
        <w:tc>
          <w:tcPr>
            <w:tcW w:w="102" w:type="pct"/>
            <w:tcBorders>
              <w:left w:val="nil"/>
              <w:right w:val="nil"/>
            </w:tcBorders>
            <w:shd w:val="clear" w:color="auto" w:fill="EEDDFF"/>
            <w:tcMar>
              <w:left w:w="28" w:type="dxa"/>
              <w:right w:w="28" w:type="dxa"/>
            </w:tcMar>
          </w:tcPr>
          <w:p w14:paraId="2A408FFF" w14:textId="77777777" w:rsidR="003C11E1" w:rsidRPr="00E81711" w:rsidRDefault="003C11E1" w:rsidP="00E50993">
            <w:pPr>
              <w:spacing w:before="20" w:after="40"/>
              <w:rPr>
                <w:b/>
                <w:bCs/>
                <w:sz w:val="28"/>
                <w:szCs w:val="28"/>
              </w:rPr>
            </w:pPr>
          </w:p>
        </w:tc>
        <w:tc>
          <w:tcPr>
            <w:tcW w:w="4894" w:type="pct"/>
            <w:gridSpan w:val="4"/>
            <w:tcBorders>
              <w:left w:val="nil"/>
              <w:right w:val="nil"/>
            </w:tcBorders>
            <w:shd w:val="clear" w:color="auto" w:fill="EEDDFF"/>
            <w:tcMar>
              <w:top w:w="28" w:type="dxa"/>
              <w:left w:w="28" w:type="dxa"/>
              <w:bottom w:w="28" w:type="dxa"/>
              <w:right w:w="28" w:type="dxa"/>
            </w:tcMar>
            <w:vAlign w:val="center"/>
          </w:tcPr>
          <w:p w14:paraId="09E10474" w14:textId="77777777" w:rsidR="003C11E1" w:rsidRPr="00E81711" w:rsidRDefault="003C11E1" w:rsidP="00E50993">
            <w:pPr>
              <w:spacing w:before="20" w:after="40"/>
              <w:rPr>
                <w:b/>
                <w:bCs/>
                <w:sz w:val="28"/>
                <w:szCs w:val="28"/>
              </w:rPr>
            </w:pPr>
            <w:bookmarkStart w:id="1" w:name="_Hlk140047730"/>
            <w:r w:rsidRPr="00E81711">
              <w:rPr>
                <w:b/>
                <w:bCs/>
                <w:sz w:val="28"/>
                <w:szCs w:val="28"/>
              </w:rPr>
              <w:t>Lead</w:t>
            </w:r>
            <w:r>
              <w:rPr>
                <w:b/>
                <w:bCs/>
                <w:sz w:val="28"/>
                <w:szCs w:val="28"/>
              </w:rPr>
              <w:t xml:space="preserve"> </w:t>
            </w:r>
            <w:r w:rsidRPr="00281CE2">
              <w:rPr>
                <w:sz w:val="20"/>
                <w:szCs w:val="20"/>
              </w:rPr>
              <w:t xml:space="preserve">— </w:t>
            </w:r>
            <w:r w:rsidRPr="00283913">
              <w:t>Build leadership capabilities to develop and model inclusive, authentic and compassionate leadership.</w:t>
            </w:r>
            <w:bookmarkEnd w:id="1"/>
          </w:p>
        </w:tc>
      </w:tr>
      <w:tr w:rsidR="00B814C9" w:rsidRPr="00E81711" w14:paraId="6642136D" w14:textId="77777777" w:rsidTr="00B072B0">
        <w:trPr>
          <w:trHeight w:val="1908"/>
        </w:trPr>
        <w:tc>
          <w:tcPr>
            <w:tcW w:w="102" w:type="pct"/>
            <w:tcBorders>
              <w:left w:val="nil"/>
              <w:right w:val="nil"/>
            </w:tcBorders>
            <w:tcMar>
              <w:left w:w="28" w:type="dxa"/>
              <w:right w:w="28" w:type="dxa"/>
            </w:tcMar>
          </w:tcPr>
          <w:p w14:paraId="4AAABA3E" w14:textId="77777777" w:rsidR="00B814C9" w:rsidRPr="00591798" w:rsidRDefault="00B814C9" w:rsidP="00E50993">
            <w:pPr>
              <w:jc w:val="center"/>
              <w:rPr>
                <w:b/>
                <w:bCs/>
                <w:sz w:val="20"/>
                <w:szCs w:val="20"/>
              </w:rPr>
            </w:pPr>
            <w:r w:rsidRPr="00591798">
              <w:rPr>
                <w:b/>
                <w:bCs/>
                <w:sz w:val="20"/>
                <w:szCs w:val="20"/>
              </w:rPr>
              <w:t>L1</w:t>
            </w:r>
          </w:p>
        </w:tc>
        <w:tc>
          <w:tcPr>
            <w:tcW w:w="709" w:type="pct"/>
            <w:tcBorders>
              <w:left w:val="nil"/>
              <w:right w:val="nil"/>
            </w:tcBorders>
            <w:shd w:val="clear" w:color="auto" w:fill="auto"/>
            <w:tcMar>
              <w:top w:w="28" w:type="dxa"/>
              <w:left w:w="28" w:type="dxa"/>
              <w:bottom w:w="28" w:type="dxa"/>
              <w:right w:w="28" w:type="dxa"/>
            </w:tcMar>
          </w:tcPr>
          <w:p w14:paraId="12B7AF9F" w14:textId="77777777" w:rsidR="00B814C9" w:rsidRPr="00E204B2" w:rsidRDefault="00B814C9" w:rsidP="00E50993">
            <w:pPr>
              <w:rPr>
                <w:sz w:val="20"/>
                <w:szCs w:val="20"/>
              </w:rPr>
            </w:pPr>
            <w:r w:rsidRPr="00E204B2">
              <w:rPr>
                <w:sz w:val="20"/>
                <w:szCs w:val="20"/>
              </w:rPr>
              <w:t>Share responsibility for inclusive behaviour across the organisation, and lead by example. The principles of inclusion should underpin all that we do and set the tone for our work.</w:t>
            </w:r>
          </w:p>
        </w:tc>
        <w:tc>
          <w:tcPr>
            <w:tcW w:w="3176" w:type="pct"/>
            <w:tcBorders>
              <w:left w:val="nil"/>
              <w:right w:val="nil"/>
            </w:tcBorders>
            <w:tcMar>
              <w:top w:w="28" w:type="dxa"/>
              <w:left w:w="28" w:type="dxa"/>
              <w:bottom w:w="28" w:type="dxa"/>
              <w:right w:w="28" w:type="dxa"/>
            </w:tcMar>
          </w:tcPr>
          <w:p w14:paraId="2BD92B19" w14:textId="77777777" w:rsidR="00B814C9" w:rsidRPr="00E204B2" w:rsidRDefault="00B814C9" w:rsidP="00591798">
            <w:pPr>
              <w:pStyle w:val="ListParagraph"/>
              <w:numPr>
                <w:ilvl w:val="0"/>
                <w:numId w:val="7"/>
              </w:numPr>
              <w:spacing w:after="20"/>
              <w:ind w:left="357" w:hanging="215"/>
              <w:contextualSpacing w:val="0"/>
              <w:rPr>
                <w:rFonts w:ascii="Arial" w:hAnsi="Arial" w:cs="Arial"/>
                <w:sz w:val="20"/>
                <w:szCs w:val="20"/>
              </w:rPr>
            </w:pPr>
            <w:r w:rsidRPr="00E204B2">
              <w:rPr>
                <w:rFonts w:ascii="Arial" w:hAnsi="Arial" w:cs="Arial"/>
                <w:sz w:val="20"/>
                <w:szCs w:val="20"/>
              </w:rPr>
              <w:t>Support the executive Inclusion and Diversity Champion to lead the equity and diversity agenda and promote the importance of fostering inclusive workplaces.</w:t>
            </w:r>
          </w:p>
          <w:p w14:paraId="45572ABC" w14:textId="77777777" w:rsidR="00B814C9" w:rsidRPr="00E204B2" w:rsidRDefault="00B814C9" w:rsidP="00591798">
            <w:pPr>
              <w:pStyle w:val="ListParagraph"/>
              <w:numPr>
                <w:ilvl w:val="0"/>
                <w:numId w:val="7"/>
              </w:numPr>
              <w:spacing w:after="20"/>
              <w:ind w:left="357" w:hanging="215"/>
              <w:contextualSpacing w:val="0"/>
              <w:rPr>
                <w:rFonts w:ascii="Arial" w:hAnsi="Arial" w:cs="Arial"/>
                <w:sz w:val="20"/>
                <w:szCs w:val="20"/>
              </w:rPr>
            </w:pPr>
            <w:r w:rsidRPr="00AD5228">
              <w:rPr>
                <w:rFonts w:ascii="Arial" w:hAnsi="Arial" w:cs="Arial"/>
                <w:sz w:val="20"/>
                <w:szCs w:val="20"/>
              </w:rPr>
              <w:t>Develop and promote a resource to help</w:t>
            </w:r>
            <w:r w:rsidRPr="00E204B2">
              <w:rPr>
                <w:rFonts w:ascii="Arial" w:hAnsi="Arial" w:cs="Arial"/>
                <w:sz w:val="20"/>
                <w:szCs w:val="20"/>
              </w:rPr>
              <w:t xml:space="preserve"> </w:t>
            </w:r>
            <w:r>
              <w:rPr>
                <w:rFonts w:ascii="Arial" w:hAnsi="Arial" w:cs="Arial"/>
                <w:sz w:val="20"/>
                <w:szCs w:val="20"/>
              </w:rPr>
              <w:t>e</w:t>
            </w:r>
            <w:r w:rsidRPr="00E204B2">
              <w:rPr>
                <w:rFonts w:ascii="Arial" w:hAnsi="Arial" w:cs="Arial"/>
                <w:sz w:val="20"/>
                <w:szCs w:val="20"/>
              </w:rPr>
              <w:t>mbed inclusion, equity and cultural safety considerations into workforce and strategic planning.</w:t>
            </w:r>
          </w:p>
          <w:p w14:paraId="3C0F412B" w14:textId="77777777" w:rsidR="00B814C9" w:rsidRPr="00E204B2" w:rsidRDefault="00B814C9" w:rsidP="00591798">
            <w:pPr>
              <w:pStyle w:val="ListParagraph"/>
              <w:numPr>
                <w:ilvl w:val="0"/>
                <w:numId w:val="7"/>
              </w:numPr>
              <w:spacing w:after="20"/>
              <w:ind w:left="357" w:hanging="215"/>
              <w:contextualSpacing w:val="0"/>
              <w:rPr>
                <w:rFonts w:ascii="Arial" w:hAnsi="Arial" w:cs="Arial"/>
                <w:sz w:val="20"/>
                <w:szCs w:val="20"/>
              </w:rPr>
            </w:pPr>
            <w:r w:rsidRPr="00E204B2">
              <w:rPr>
                <w:rFonts w:ascii="Arial" w:hAnsi="Arial" w:cs="Arial"/>
                <w:sz w:val="20"/>
                <w:szCs w:val="20"/>
              </w:rPr>
              <w:t>Incorporate cultural capability into performance plans.</w:t>
            </w:r>
          </w:p>
          <w:p w14:paraId="3043E46A" w14:textId="77777777" w:rsidR="00B814C9" w:rsidRPr="00E204B2" w:rsidRDefault="00B814C9" w:rsidP="00591798">
            <w:pPr>
              <w:pStyle w:val="ListParagraph"/>
              <w:numPr>
                <w:ilvl w:val="0"/>
                <w:numId w:val="7"/>
              </w:numPr>
              <w:spacing w:after="20"/>
              <w:ind w:left="357" w:hanging="215"/>
              <w:contextualSpacing w:val="0"/>
              <w:rPr>
                <w:rFonts w:ascii="Arial" w:hAnsi="Arial" w:cs="Arial"/>
                <w:sz w:val="20"/>
                <w:szCs w:val="20"/>
              </w:rPr>
            </w:pPr>
            <w:r w:rsidRPr="00E204B2">
              <w:rPr>
                <w:rFonts w:ascii="Arial" w:hAnsi="Arial" w:cs="Arial"/>
                <w:sz w:val="20"/>
                <w:szCs w:val="20"/>
              </w:rPr>
              <w:t>Support managers to use performance conversations as an opportunity to ensure staff feel empowered, enabled and encouraged to pursue their career goals.</w:t>
            </w:r>
          </w:p>
          <w:p w14:paraId="379E8F86" w14:textId="77777777" w:rsidR="00B814C9" w:rsidRPr="00E204B2" w:rsidRDefault="00B814C9" w:rsidP="003C11E1">
            <w:pPr>
              <w:pStyle w:val="ListParagraph"/>
              <w:numPr>
                <w:ilvl w:val="0"/>
                <w:numId w:val="7"/>
              </w:numPr>
              <w:ind w:hanging="216"/>
              <w:rPr>
                <w:rFonts w:ascii="Arial" w:hAnsi="Arial" w:cs="Arial"/>
                <w:sz w:val="20"/>
                <w:szCs w:val="20"/>
              </w:rPr>
            </w:pPr>
            <w:r w:rsidRPr="00E204B2">
              <w:rPr>
                <w:rFonts w:ascii="Arial" w:hAnsi="Arial" w:cs="Arial"/>
                <w:sz w:val="20"/>
                <w:szCs w:val="20"/>
              </w:rPr>
              <w:t xml:space="preserve">Engage with equity and diversity industry partners and peak </w:t>
            </w:r>
            <w:proofErr w:type="gramStart"/>
            <w:r w:rsidRPr="00E204B2">
              <w:rPr>
                <w:rFonts w:ascii="Arial" w:hAnsi="Arial" w:cs="Arial"/>
                <w:sz w:val="20"/>
                <w:szCs w:val="20"/>
              </w:rPr>
              <w:t>bodies, and</w:t>
            </w:r>
            <w:proofErr w:type="gramEnd"/>
            <w:r w:rsidRPr="00E204B2">
              <w:rPr>
                <w:rFonts w:ascii="Arial" w:hAnsi="Arial" w:cs="Arial"/>
                <w:sz w:val="20"/>
                <w:szCs w:val="20"/>
              </w:rPr>
              <w:t xml:space="preserve"> participate in available index and/or accreditation programs to ensure our workplace practices, policies and programs are appropriate and contemporary.</w:t>
            </w:r>
          </w:p>
        </w:tc>
        <w:tc>
          <w:tcPr>
            <w:tcW w:w="540" w:type="pct"/>
            <w:tcBorders>
              <w:left w:val="nil"/>
              <w:right w:val="nil"/>
            </w:tcBorders>
            <w:tcMar>
              <w:top w:w="28" w:type="dxa"/>
              <w:left w:w="28" w:type="dxa"/>
              <w:bottom w:w="28" w:type="dxa"/>
              <w:right w:w="28" w:type="dxa"/>
            </w:tcMar>
          </w:tcPr>
          <w:p w14:paraId="406D720C" w14:textId="0F82ACAC" w:rsidR="00B814C9" w:rsidRDefault="00922D35" w:rsidP="00922D35">
            <w:pPr>
              <w:pStyle w:val="ListParagraph"/>
              <w:numPr>
                <w:ilvl w:val="0"/>
                <w:numId w:val="10"/>
              </w:numPr>
              <w:spacing w:after="40"/>
              <w:ind w:left="182" w:hanging="176"/>
              <w:contextualSpacing w:val="0"/>
              <w:rPr>
                <w:rFonts w:ascii="Arial" w:hAnsi="Arial" w:cs="Arial"/>
                <w:sz w:val="20"/>
                <w:szCs w:val="20"/>
              </w:rPr>
            </w:pPr>
            <w:r w:rsidRPr="00F61F4E">
              <w:rPr>
                <w:rFonts w:ascii="Arial" w:hAnsi="Arial" w:cs="Arial"/>
                <w:sz w:val="20"/>
                <w:szCs w:val="20"/>
              </w:rPr>
              <w:t xml:space="preserve">All key strategies and Workforce Plans contain inclusion, equity and cultural safety </w:t>
            </w:r>
            <w:proofErr w:type="gramStart"/>
            <w:r w:rsidRPr="00F61F4E">
              <w:rPr>
                <w:rFonts w:ascii="Arial" w:hAnsi="Arial" w:cs="Arial"/>
                <w:sz w:val="20"/>
                <w:szCs w:val="20"/>
              </w:rPr>
              <w:t>considerations</w:t>
            </w:r>
            <w:proofErr w:type="gramEnd"/>
          </w:p>
          <w:p w14:paraId="58F4D96D" w14:textId="39B27D6E" w:rsidR="00922D35" w:rsidRPr="00922D35" w:rsidRDefault="00922D35" w:rsidP="00922D35">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Performance conversations incorporate inclusion</w:t>
            </w:r>
          </w:p>
        </w:tc>
        <w:tc>
          <w:tcPr>
            <w:tcW w:w="473" w:type="pct"/>
            <w:gridSpan w:val="2"/>
            <w:tcBorders>
              <w:left w:val="nil"/>
              <w:right w:val="nil"/>
            </w:tcBorders>
            <w:tcMar>
              <w:top w:w="28" w:type="dxa"/>
              <w:left w:w="28" w:type="dxa"/>
              <w:bottom w:w="28" w:type="dxa"/>
              <w:right w:w="28" w:type="dxa"/>
            </w:tcMar>
          </w:tcPr>
          <w:p w14:paraId="4E1F231C" w14:textId="77777777" w:rsidR="00B814C9" w:rsidRPr="00E204B2" w:rsidRDefault="00B814C9" w:rsidP="003C11E1">
            <w:pPr>
              <w:pStyle w:val="ListParagraph"/>
              <w:numPr>
                <w:ilvl w:val="0"/>
                <w:numId w:val="10"/>
              </w:numPr>
              <w:spacing w:after="40"/>
              <w:ind w:left="182" w:hanging="176"/>
              <w:contextualSpacing w:val="0"/>
              <w:rPr>
                <w:rFonts w:ascii="Arial" w:hAnsi="Arial" w:cs="Arial"/>
                <w:sz w:val="20"/>
                <w:szCs w:val="20"/>
              </w:rPr>
            </w:pPr>
            <w:r w:rsidRPr="00E204B2">
              <w:rPr>
                <w:rFonts w:ascii="Arial" w:hAnsi="Arial" w:cs="Arial"/>
                <w:sz w:val="20"/>
                <w:szCs w:val="20"/>
              </w:rPr>
              <w:t xml:space="preserve">People and Culture </w:t>
            </w:r>
          </w:p>
          <w:p w14:paraId="1B92B54D" w14:textId="77777777" w:rsidR="00B814C9" w:rsidRPr="00E204B2" w:rsidRDefault="00B814C9" w:rsidP="003C11E1">
            <w:pPr>
              <w:pStyle w:val="ListParagraph"/>
              <w:numPr>
                <w:ilvl w:val="0"/>
                <w:numId w:val="10"/>
              </w:numPr>
              <w:spacing w:after="40"/>
              <w:ind w:left="182" w:hanging="176"/>
              <w:contextualSpacing w:val="0"/>
              <w:rPr>
                <w:rFonts w:ascii="Arial" w:hAnsi="Arial" w:cs="Arial"/>
                <w:sz w:val="20"/>
                <w:szCs w:val="20"/>
              </w:rPr>
            </w:pPr>
            <w:r w:rsidRPr="00E204B2">
              <w:rPr>
                <w:rFonts w:ascii="Arial" w:hAnsi="Arial" w:cs="Arial"/>
                <w:sz w:val="20"/>
                <w:szCs w:val="20"/>
              </w:rPr>
              <w:t>Whole department</w:t>
            </w:r>
          </w:p>
        </w:tc>
      </w:tr>
      <w:tr w:rsidR="00B814C9" w:rsidRPr="00E81711" w14:paraId="74D32A23" w14:textId="77777777" w:rsidTr="00B072B0">
        <w:trPr>
          <w:trHeight w:val="691"/>
        </w:trPr>
        <w:tc>
          <w:tcPr>
            <w:tcW w:w="102" w:type="pct"/>
            <w:tcBorders>
              <w:left w:val="nil"/>
              <w:right w:val="nil"/>
            </w:tcBorders>
            <w:tcMar>
              <w:left w:w="28" w:type="dxa"/>
              <w:right w:w="28" w:type="dxa"/>
            </w:tcMar>
          </w:tcPr>
          <w:p w14:paraId="0FF02F3E" w14:textId="77777777" w:rsidR="00B814C9" w:rsidRPr="00591798" w:rsidRDefault="00B814C9" w:rsidP="00E50993">
            <w:pPr>
              <w:rPr>
                <w:b/>
                <w:bCs/>
                <w:sz w:val="20"/>
                <w:szCs w:val="20"/>
              </w:rPr>
            </w:pPr>
            <w:r w:rsidRPr="00591798">
              <w:rPr>
                <w:b/>
                <w:bCs/>
                <w:sz w:val="20"/>
                <w:szCs w:val="20"/>
              </w:rPr>
              <w:t>L2</w:t>
            </w:r>
          </w:p>
        </w:tc>
        <w:tc>
          <w:tcPr>
            <w:tcW w:w="709" w:type="pct"/>
            <w:tcBorders>
              <w:left w:val="nil"/>
              <w:right w:val="nil"/>
            </w:tcBorders>
            <w:shd w:val="clear" w:color="auto" w:fill="auto"/>
            <w:tcMar>
              <w:top w:w="28" w:type="dxa"/>
              <w:left w:w="28" w:type="dxa"/>
              <w:bottom w:w="28" w:type="dxa"/>
              <w:right w:w="28" w:type="dxa"/>
            </w:tcMar>
          </w:tcPr>
          <w:p w14:paraId="0C510D8E" w14:textId="77777777" w:rsidR="00B814C9" w:rsidRPr="00E204B2" w:rsidRDefault="00B814C9" w:rsidP="00922D35">
            <w:pPr>
              <w:spacing w:after="0"/>
              <w:rPr>
                <w:sz w:val="20"/>
                <w:szCs w:val="20"/>
              </w:rPr>
            </w:pPr>
            <w:r w:rsidRPr="00E204B2">
              <w:rPr>
                <w:sz w:val="20"/>
                <w:szCs w:val="20"/>
              </w:rPr>
              <w:t>Percentage of women in leadership more closely aligns with proportion of women across the department.</w:t>
            </w:r>
          </w:p>
        </w:tc>
        <w:tc>
          <w:tcPr>
            <w:tcW w:w="3176" w:type="pct"/>
            <w:tcBorders>
              <w:left w:val="nil"/>
              <w:right w:val="nil"/>
            </w:tcBorders>
            <w:tcMar>
              <w:top w:w="28" w:type="dxa"/>
              <w:left w:w="28" w:type="dxa"/>
              <w:bottom w:w="28" w:type="dxa"/>
              <w:right w:w="28" w:type="dxa"/>
            </w:tcMar>
          </w:tcPr>
          <w:p w14:paraId="1C81C4A0" w14:textId="77777777" w:rsidR="00B814C9" w:rsidRPr="00E204B2" w:rsidRDefault="00B814C9" w:rsidP="00591798">
            <w:pPr>
              <w:pStyle w:val="ListParagraph"/>
              <w:numPr>
                <w:ilvl w:val="0"/>
                <w:numId w:val="7"/>
              </w:numPr>
              <w:spacing w:after="40"/>
              <w:ind w:left="357" w:hanging="215"/>
              <w:contextualSpacing w:val="0"/>
              <w:rPr>
                <w:rFonts w:ascii="Arial" w:hAnsi="Arial" w:cs="Arial"/>
                <w:sz w:val="20"/>
                <w:szCs w:val="20"/>
              </w:rPr>
            </w:pPr>
            <w:r w:rsidRPr="00E204B2">
              <w:rPr>
                <w:rFonts w:ascii="Arial" w:hAnsi="Arial" w:cs="Arial"/>
                <w:sz w:val="20"/>
                <w:szCs w:val="20"/>
              </w:rPr>
              <w:t>Investigate the causes of lower representation of women in higher salaried roles, including intersectionality considerations.</w:t>
            </w:r>
          </w:p>
          <w:p w14:paraId="3960DEE7" w14:textId="77777777" w:rsidR="00B814C9" w:rsidRPr="00E204B2" w:rsidRDefault="00B814C9" w:rsidP="003C11E1">
            <w:pPr>
              <w:pStyle w:val="ListParagraph"/>
              <w:numPr>
                <w:ilvl w:val="0"/>
                <w:numId w:val="7"/>
              </w:numPr>
              <w:ind w:hanging="216"/>
              <w:rPr>
                <w:rFonts w:ascii="Arial" w:hAnsi="Arial" w:cs="Arial"/>
                <w:sz w:val="20"/>
                <w:szCs w:val="20"/>
              </w:rPr>
            </w:pPr>
            <w:r w:rsidRPr="00E204B2">
              <w:rPr>
                <w:rFonts w:ascii="Arial" w:hAnsi="Arial" w:cs="Arial"/>
                <w:sz w:val="20"/>
                <w:szCs w:val="20"/>
              </w:rPr>
              <w:t xml:space="preserve">Promote available workplace flexibility, including in senior roles, in job advertisements and on careers </w:t>
            </w:r>
            <w:r>
              <w:rPr>
                <w:rFonts w:ascii="Arial" w:hAnsi="Arial" w:cs="Arial"/>
                <w:sz w:val="20"/>
                <w:szCs w:val="20"/>
              </w:rPr>
              <w:t xml:space="preserve">web </w:t>
            </w:r>
            <w:r w:rsidRPr="00E204B2">
              <w:rPr>
                <w:rFonts w:ascii="Arial" w:hAnsi="Arial" w:cs="Arial"/>
                <w:sz w:val="20"/>
                <w:szCs w:val="20"/>
              </w:rPr>
              <w:t>page.</w:t>
            </w:r>
          </w:p>
        </w:tc>
        <w:tc>
          <w:tcPr>
            <w:tcW w:w="540" w:type="pct"/>
            <w:tcBorders>
              <w:left w:val="nil"/>
              <w:right w:val="nil"/>
            </w:tcBorders>
            <w:tcMar>
              <w:top w:w="28" w:type="dxa"/>
              <w:left w:w="28" w:type="dxa"/>
              <w:bottom w:w="28" w:type="dxa"/>
              <w:right w:w="28" w:type="dxa"/>
            </w:tcMar>
          </w:tcPr>
          <w:p w14:paraId="54542746" w14:textId="4AABBE5B" w:rsidR="00B814C9" w:rsidRPr="00E204B2" w:rsidRDefault="00922D35" w:rsidP="003C11E1">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Improvement in proportion of women applicants</w:t>
            </w:r>
          </w:p>
        </w:tc>
        <w:tc>
          <w:tcPr>
            <w:tcW w:w="473" w:type="pct"/>
            <w:gridSpan w:val="2"/>
            <w:tcBorders>
              <w:left w:val="nil"/>
              <w:right w:val="nil"/>
            </w:tcBorders>
            <w:tcMar>
              <w:top w:w="28" w:type="dxa"/>
              <w:left w:w="28" w:type="dxa"/>
              <w:bottom w:w="28" w:type="dxa"/>
              <w:right w:w="28" w:type="dxa"/>
            </w:tcMar>
          </w:tcPr>
          <w:p w14:paraId="5884AC4F" w14:textId="77777777" w:rsidR="00B814C9" w:rsidRPr="00E913F5" w:rsidRDefault="00B814C9" w:rsidP="003C11E1">
            <w:pPr>
              <w:pStyle w:val="ListParagraph"/>
              <w:numPr>
                <w:ilvl w:val="0"/>
                <w:numId w:val="10"/>
              </w:numPr>
              <w:spacing w:after="40"/>
              <w:ind w:left="182" w:hanging="176"/>
              <w:contextualSpacing w:val="0"/>
              <w:rPr>
                <w:rFonts w:ascii="Arial" w:hAnsi="Arial" w:cs="Arial"/>
                <w:sz w:val="20"/>
                <w:szCs w:val="20"/>
              </w:rPr>
            </w:pPr>
            <w:r w:rsidRPr="00E204B2">
              <w:rPr>
                <w:rFonts w:ascii="Arial" w:hAnsi="Arial" w:cs="Arial"/>
                <w:sz w:val="20"/>
                <w:szCs w:val="20"/>
              </w:rPr>
              <w:t>People and Culture</w:t>
            </w:r>
          </w:p>
        </w:tc>
      </w:tr>
      <w:tr w:rsidR="003C11E1" w:rsidRPr="00E81711" w14:paraId="5D52A38C" w14:textId="77777777" w:rsidTr="00B814C9">
        <w:trPr>
          <w:gridAfter w:val="1"/>
          <w:wAfter w:w="4" w:type="pct"/>
          <w:trHeight w:val="379"/>
        </w:trPr>
        <w:tc>
          <w:tcPr>
            <w:tcW w:w="102" w:type="pct"/>
            <w:tcBorders>
              <w:left w:val="nil"/>
              <w:right w:val="nil"/>
            </w:tcBorders>
            <w:shd w:val="clear" w:color="auto" w:fill="E8F3E1"/>
            <w:tcMar>
              <w:left w:w="28" w:type="dxa"/>
              <w:right w:w="28" w:type="dxa"/>
            </w:tcMar>
          </w:tcPr>
          <w:p w14:paraId="64047FF1" w14:textId="77777777" w:rsidR="003C11E1" w:rsidRDefault="003C11E1" w:rsidP="00E50993">
            <w:pPr>
              <w:spacing w:before="20" w:after="40"/>
              <w:rPr>
                <w:b/>
                <w:bCs/>
                <w:sz w:val="28"/>
                <w:szCs w:val="28"/>
              </w:rPr>
            </w:pPr>
          </w:p>
        </w:tc>
        <w:tc>
          <w:tcPr>
            <w:tcW w:w="4894" w:type="pct"/>
            <w:gridSpan w:val="4"/>
            <w:tcBorders>
              <w:left w:val="nil"/>
              <w:right w:val="nil"/>
            </w:tcBorders>
            <w:shd w:val="clear" w:color="auto" w:fill="E8F3E1"/>
            <w:tcMar>
              <w:top w:w="28" w:type="dxa"/>
              <w:left w:w="28" w:type="dxa"/>
              <w:bottom w:w="28" w:type="dxa"/>
              <w:right w:w="28" w:type="dxa"/>
            </w:tcMar>
            <w:vAlign w:val="center"/>
          </w:tcPr>
          <w:p w14:paraId="1BAD2AE0" w14:textId="77777777" w:rsidR="003C11E1" w:rsidRDefault="003C11E1" w:rsidP="00E50993">
            <w:pPr>
              <w:spacing w:before="20" w:after="40"/>
              <w:rPr>
                <w:b/>
                <w:bCs/>
                <w:sz w:val="28"/>
                <w:szCs w:val="28"/>
              </w:rPr>
            </w:pPr>
            <w:r>
              <w:rPr>
                <w:b/>
                <w:bCs/>
                <w:sz w:val="28"/>
                <w:szCs w:val="28"/>
              </w:rPr>
              <w:t xml:space="preserve">Advance </w:t>
            </w:r>
            <w:r w:rsidRPr="00281CE2">
              <w:rPr>
                <w:sz w:val="20"/>
                <w:szCs w:val="20"/>
              </w:rPr>
              <w:t>—</w:t>
            </w:r>
            <w:r w:rsidRPr="00283913">
              <w:t xml:space="preserve"> Learn together and raise awareness of ways to advance the department’s ability to foster an inclusive work environment.</w:t>
            </w:r>
          </w:p>
        </w:tc>
      </w:tr>
      <w:tr w:rsidR="00B814C9" w:rsidRPr="00E81711" w14:paraId="178C376C" w14:textId="77777777" w:rsidTr="00B072B0">
        <w:trPr>
          <w:trHeight w:val="1060"/>
        </w:trPr>
        <w:tc>
          <w:tcPr>
            <w:tcW w:w="102" w:type="pct"/>
            <w:tcBorders>
              <w:left w:val="nil"/>
              <w:right w:val="nil"/>
            </w:tcBorders>
            <w:tcMar>
              <w:left w:w="28" w:type="dxa"/>
              <w:right w:w="28" w:type="dxa"/>
            </w:tcMar>
          </w:tcPr>
          <w:p w14:paraId="46591956" w14:textId="77777777" w:rsidR="00B814C9" w:rsidRPr="00591798" w:rsidRDefault="00B814C9" w:rsidP="00E50993">
            <w:pPr>
              <w:rPr>
                <w:b/>
                <w:bCs/>
                <w:sz w:val="21"/>
                <w:szCs w:val="21"/>
              </w:rPr>
            </w:pPr>
            <w:r w:rsidRPr="00591798">
              <w:rPr>
                <w:b/>
                <w:bCs/>
                <w:sz w:val="21"/>
                <w:szCs w:val="21"/>
              </w:rPr>
              <w:t>A1</w:t>
            </w:r>
          </w:p>
        </w:tc>
        <w:tc>
          <w:tcPr>
            <w:tcW w:w="709" w:type="pct"/>
            <w:tcBorders>
              <w:left w:val="nil"/>
              <w:right w:val="nil"/>
            </w:tcBorders>
            <w:shd w:val="clear" w:color="auto" w:fill="auto"/>
            <w:tcMar>
              <w:top w:w="28" w:type="dxa"/>
              <w:left w:w="28" w:type="dxa"/>
              <w:bottom w:w="28" w:type="dxa"/>
              <w:right w:w="28" w:type="dxa"/>
            </w:tcMar>
          </w:tcPr>
          <w:p w14:paraId="632DCC29" w14:textId="77777777" w:rsidR="00B814C9" w:rsidRPr="00E204B2" w:rsidRDefault="00B814C9" w:rsidP="00E50993">
            <w:pPr>
              <w:rPr>
                <w:sz w:val="20"/>
                <w:szCs w:val="20"/>
              </w:rPr>
            </w:pPr>
            <w:r w:rsidRPr="00E204B2">
              <w:rPr>
                <w:sz w:val="20"/>
                <w:szCs w:val="20"/>
              </w:rPr>
              <w:t>Provide equitable and accessible training and development opportunities to help all staff thrive.</w:t>
            </w:r>
          </w:p>
        </w:tc>
        <w:tc>
          <w:tcPr>
            <w:tcW w:w="3176" w:type="pct"/>
            <w:tcBorders>
              <w:left w:val="nil"/>
              <w:right w:val="nil"/>
            </w:tcBorders>
            <w:tcMar>
              <w:top w:w="28" w:type="dxa"/>
              <w:left w:w="28" w:type="dxa"/>
              <w:bottom w:w="28" w:type="dxa"/>
              <w:right w:w="28" w:type="dxa"/>
            </w:tcMar>
          </w:tcPr>
          <w:p w14:paraId="6EFE2B84" w14:textId="77777777" w:rsidR="00B814C9" w:rsidRPr="00E204B2" w:rsidRDefault="00B814C9" w:rsidP="00591798">
            <w:pPr>
              <w:pStyle w:val="ListParagraph"/>
              <w:numPr>
                <w:ilvl w:val="0"/>
                <w:numId w:val="7"/>
              </w:numPr>
              <w:spacing w:after="20"/>
              <w:ind w:left="357" w:hanging="215"/>
              <w:contextualSpacing w:val="0"/>
              <w:rPr>
                <w:rFonts w:ascii="Arial" w:hAnsi="Arial" w:cs="Arial"/>
                <w:sz w:val="20"/>
                <w:szCs w:val="20"/>
              </w:rPr>
            </w:pPr>
            <w:r w:rsidRPr="00E204B2">
              <w:rPr>
                <w:rFonts w:ascii="Arial" w:hAnsi="Arial" w:cs="Arial"/>
                <w:sz w:val="20"/>
                <w:szCs w:val="20"/>
              </w:rPr>
              <w:t>Provide staff induction and onboarding that is comprehensive and accessible to all.</w:t>
            </w:r>
          </w:p>
          <w:p w14:paraId="27D85300" w14:textId="77777777" w:rsidR="00B814C9" w:rsidRPr="00E204B2" w:rsidRDefault="00B814C9" w:rsidP="00591798">
            <w:pPr>
              <w:pStyle w:val="ListParagraph"/>
              <w:numPr>
                <w:ilvl w:val="0"/>
                <w:numId w:val="7"/>
              </w:numPr>
              <w:spacing w:after="20"/>
              <w:ind w:left="357" w:hanging="215"/>
              <w:contextualSpacing w:val="0"/>
              <w:rPr>
                <w:rFonts w:ascii="Arial" w:hAnsi="Arial" w:cs="Arial"/>
                <w:sz w:val="20"/>
                <w:szCs w:val="20"/>
              </w:rPr>
            </w:pPr>
            <w:r w:rsidRPr="00E204B2">
              <w:rPr>
                <w:rFonts w:ascii="Arial" w:hAnsi="Arial" w:cs="Arial"/>
                <w:sz w:val="20"/>
                <w:szCs w:val="20"/>
              </w:rPr>
              <w:t>Ensure our leadership and career progression programs are inclusive and accessible to our diverse workforce.</w:t>
            </w:r>
          </w:p>
          <w:p w14:paraId="30F4FE25" w14:textId="77777777" w:rsidR="00B814C9" w:rsidRPr="00E204B2" w:rsidRDefault="00B814C9" w:rsidP="00591798">
            <w:pPr>
              <w:pStyle w:val="ListParagraph"/>
              <w:numPr>
                <w:ilvl w:val="0"/>
                <w:numId w:val="7"/>
              </w:numPr>
              <w:spacing w:after="20"/>
              <w:ind w:left="357" w:hanging="215"/>
              <w:contextualSpacing w:val="0"/>
              <w:rPr>
                <w:rFonts w:ascii="Arial" w:hAnsi="Arial" w:cs="Arial"/>
                <w:sz w:val="20"/>
                <w:szCs w:val="20"/>
              </w:rPr>
            </w:pPr>
            <w:r w:rsidRPr="00E204B2">
              <w:rPr>
                <w:rFonts w:ascii="Arial" w:hAnsi="Arial" w:cs="Arial"/>
                <w:sz w:val="20"/>
                <w:szCs w:val="20"/>
              </w:rPr>
              <w:t>Review the accessibility of learning and development resources to help employees achieve their career goals.</w:t>
            </w:r>
          </w:p>
          <w:p w14:paraId="41C68E6F" w14:textId="77777777" w:rsidR="00B814C9" w:rsidRPr="00E204B2" w:rsidRDefault="00B814C9" w:rsidP="003C11E1">
            <w:pPr>
              <w:pStyle w:val="ListParagraph"/>
              <w:numPr>
                <w:ilvl w:val="0"/>
                <w:numId w:val="7"/>
              </w:numPr>
              <w:ind w:hanging="216"/>
              <w:rPr>
                <w:rFonts w:ascii="Arial" w:hAnsi="Arial" w:cs="Arial"/>
                <w:sz w:val="20"/>
                <w:szCs w:val="20"/>
              </w:rPr>
            </w:pPr>
            <w:r w:rsidRPr="00E204B2">
              <w:rPr>
                <w:rFonts w:ascii="Arial" w:hAnsi="Arial" w:cs="Arial"/>
                <w:sz w:val="20"/>
                <w:szCs w:val="20"/>
              </w:rPr>
              <w:t>Identify and promote programs for skills development and career advancement across staff diversity groups.</w:t>
            </w:r>
          </w:p>
        </w:tc>
        <w:tc>
          <w:tcPr>
            <w:tcW w:w="540" w:type="pct"/>
            <w:tcBorders>
              <w:left w:val="nil"/>
              <w:right w:val="nil"/>
            </w:tcBorders>
            <w:tcMar>
              <w:top w:w="28" w:type="dxa"/>
              <w:left w:w="28" w:type="dxa"/>
              <w:bottom w:w="28" w:type="dxa"/>
              <w:right w:w="28" w:type="dxa"/>
            </w:tcMar>
          </w:tcPr>
          <w:p w14:paraId="79530C9E" w14:textId="544087EF" w:rsidR="00B814C9" w:rsidRPr="00E31F6D" w:rsidRDefault="00922D35" w:rsidP="003C11E1">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Training and developmental opportunities can be accessed by all staff</w:t>
            </w:r>
          </w:p>
        </w:tc>
        <w:tc>
          <w:tcPr>
            <w:tcW w:w="473" w:type="pct"/>
            <w:gridSpan w:val="2"/>
            <w:tcBorders>
              <w:left w:val="nil"/>
              <w:right w:val="nil"/>
            </w:tcBorders>
            <w:tcMar>
              <w:top w:w="28" w:type="dxa"/>
              <w:left w:w="28" w:type="dxa"/>
              <w:bottom w:w="28" w:type="dxa"/>
              <w:right w:w="28" w:type="dxa"/>
            </w:tcMar>
          </w:tcPr>
          <w:p w14:paraId="6B7235F0" w14:textId="77777777" w:rsidR="00B814C9" w:rsidRPr="00E204B2" w:rsidRDefault="00B814C9" w:rsidP="003C11E1">
            <w:pPr>
              <w:pStyle w:val="ListParagraph"/>
              <w:numPr>
                <w:ilvl w:val="0"/>
                <w:numId w:val="10"/>
              </w:numPr>
              <w:spacing w:after="40"/>
              <w:ind w:left="182" w:hanging="176"/>
              <w:contextualSpacing w:val="0"/>
              <w:rPr>
                <w:rFonts w:ascii="Arial" w:hAnsi="Arial" w:cs="Arial"/>
                <w:sz w:val="20"/>
                <w:szCs w:val="20"/>
              </w:rPr>
            </w:pPr>
            <w:r w:rsidRPr="00E204B2">
              <w:rPr>
                <w:rFonts w:ascii="Arial" w:hAnsi="Arial" w:cs="Arial"/>
                <w:sz w:val="20"/>
                <w:szCs w:val="20"/>
              </w:rPr>
              <w:t>People and Culture</w:t>
            </w:r>
          </w:p>
        </w:tc>
      </w:tr>
      <w:tr w:rsidR="00B814C9" w:rsidRPr="00E81711" w14:paraId="0499DAAE" w14:textId="77777777" w:rsidTr="00B072B0">
        <w:trPr>
          <w:trHeight w:val="1910"/>
        </w:trPr>
        <w:tc>
          <w:tcPr>
            <w:tcW w:w="102" w:type="pct"/>
            <w:tcBorders>
              <w:left w:val="nil"/>
              <w:right w:val="nil"/>
            </w:tcBorders>
            <w:tcMar>
              <w:left w:w="28" w:type="dxa"/>
              <w:right w:w="28" w:type="dxa"/>
            </w:tcMar>
          </w:tcPr>
          <w:p w14:paraId="7936DEC2" w14:textId="77777777" w:rsidR="00B814C9" w:rsidRPr="00591798" w:rsidRDefault="00B814C9" w:rsidP="00E50993">
            <w:pPr>
              <w:jc w:val="center"/>
              <w:rPr>
                <w:b/>
                <w:bCs/>
                <w:sz w:val="20"/>
                <w:szCs w:val="20"/>
              </w:rPr>
            </w:pPr>
            <w:r w:rsidRPr="00591798">
              <w:rPr>
                <w:b/>
                <w:bCs/>
                <w:sz w:val="20"/>
                <w:szCs w:val="20"/>
              </w:rPr>
              <w:t>A2</w:t>
            </w:r>
          </w:p>
        </w:tc>
        <w:tc>
          <w:tcPr>
            <w:tcW w:w="709" w:type="pct"/>
            <w:tcBorders>
              <w:left w:val="nil"/>
              <w:right w:val="nil"/>
            </w:tcBorders>
            <w:shd w:val="clear" w:color="auto" w:fill="auto"/>
            <w:tcMar>
              <w:top w:w="28" w:type="dxa"/>
              <w:left w:w="28" w:type="dxa"/>
              <w:bottom w:w="28" w:type="dxa"/>
              <w:right w:w="28" w:type="dxa"/>
            </w:tcMar>
          </w:tcPr>
          <w:p w14:paraId="490C9EFA" w14:textId="77777777" w:rsidR="00B814C9" w:rsidRPr="007E4577" w:rsidRDefault="00B814C9" w:rsidP="00E50993">
            <w:pPr>
              <w:rPr>
                <w:sz w:val="20"/>
                <w:szCs w:val="20"/>
              </w:rPr>
            </w:pPr>
            <w:r w:rsidRPr="007E4577">
              <w:rPr>
                <w:sz w:val="20"/>
                <w:szCs w:val="20"/>
              </w:rPr>
              <w:t>Recruit and retain a workforce that reflects the diversity that exists in the Queensland community we serve.</w:t>
            </w:r>
          </w:p>
        </w:tc>
        <w:tc>
          <w:tcPr>
            <w:tcW w:w="3176" w:type="pct"/>
            <w:tcBorders>
              <w:left w:val="nil"/>
              <w:right w:val="nil"/>
            </w:tcBorders>
            <w:tcMar>
              <w:top w:w="28" w:type="dxa"/>
              <w:left w:w="28" w:type="dxa"/>
              <w:bottom w:w="28" w:type="dxa"/>
              <w:right w:w="28" w:type="dxa"/>
            </w:tcMar>
          </w:tcPr>
          <w:p w14:paraId="09A205D9" w14:textId="77777777" w:rsidR="00591798" w:rsidRDefault="00591798" w:rsidP="00591798">
            <w:pPr>
              <w:pStyle w:val="ListParagraph"/>
              <w:numPr>
                <w:ilvl w:val="0"/>
                <w:numId w:val="7"/>
              </w:numPr>
              <w:spacing w:after="20"/>
              <w:ind w:left="357" w:hanging="215"/>
              <w:contextualSpacing w:val="0"/>
              <w:rPr>
                <w:rFonts w:ascii="Arial" w:hAnsi="Arial" w:cs="Arial"/>
                <w:sz w:val="20"/>
                <w:szCs w:val="20"/>
              </w:rPr>
            </w:pPr>
            <w:r w:rsidRPr="007E4577">
              <w:rPr>
                <w:rFonts w:ascii="Arial" w:hAnsi="Arial" w:cs="Arial"/>
                <w:sz w:val="20"/>
                <w:szCs w:val="20"/>
              </w:rPr>
              <w:t xml:space="preserve">Embed inclusion, equity and cultural safety considerations into the </w:t>
            </w:r>
            <w:r>
              <w:rPr>
                <w:rFonts w:ascii="Arial" w:hAnsi="Arial" w:cs="Arial"/>
                <w:sz w:val="20"/>
                <w:szCs w:val="20"/>
              </w:rPr>
              <w:t>Recruitment and R</w:t>
            </w:r>
            <w:r w:rsidRPr="007E4577">
              <w:rPr>
                <w:rFonts w:ascii="Arial" w:hAnsi="Arial" w:cs="Arial"/>
                <w:sz w:val="20"/>
                <w:szCs w:val="20"/>
              </w:rPr>
              <w:t xml:space="preserve">etention </w:t>
            </w:r>
            <w:r>
              <w:rPr>
                <w:rFonts w:ascii="Arial" w:hAnsi="Arial" w:cs="Arial"/>
                <w:sz w:val="20"/>
                <w:szCs w:val="20"/>
              </w:rPr>
              <w:t>s</w:t>
            </w:r>
            <w:r w:rsidRPr="007E4577">
              <w:rPr>
                <w:rFonts w:ascii="Arial" w:hAnsi="Arial" w:cs="Arial"/>
                <w:sz w:val="20"/>
                <w:szCs w:val="20"/>
              </w:rPr>
              <w:t>trateg</w:t>
            </w:r>
            <w:r>
              <w:rPr>
                <w:rFonts w:ascii="Arial" w:hAnsi="Arial" w:cs="Arial"/>
                <w:sz w:val="20"/>
                <w:szCs w:val="20"/>
              </w:rPr>
              <w:t>ies</w:t>
            </w:r>
            <w:r w:rsidRPr="007E4577">
              <w:rPr>
                <w:rFonts w:ascii="Arial" w:hAnsi="Arial" w:cs="Arial"/>
                <w:sz w:val="20"/>
                <w:szCs w:val="20"/>
              </w:rPr>
              <w:t>.</w:t>
            </w:r>
          </w:p>
          <w:p w14:paraId="043BC93F" w14:textId="77777777" w:rsidR="00B814C9" w:rsidRPr="007E4577" w:rsidRDefault="00B814C9" w:rsidP="00591798">
            <w:pPr>
              <w:pStyle w:val="ListParagraph"/>
              <w:numPr>
                <w:ilvl w:val="0"/>
                <w:numId w:val="7"/>
              </w:numPr>
              <w:spacing w:after="20"/>
              <w:ind w:left="357" w:hanging="215"/>
              <w:contextualSpacing w:val="0"/>
              <w:rPr>
                <w:rFonts w:ascii="Arial" w:hAnsi="Arial" w:cs="Arial"/>
                <w:sz w:val="20"/>
                <w:szCs w:val="20"/>
              </w:rPr>
            </w:pPr>
            <w:r w:rsidRPr="007E4577">
              <w:rPr>
                <w:rFonts w:ascii="Arial" w:hAnsi="Arial" w:cs="Arial"/>
                <w:sz w:val="20"/>
                <w:szCs w:val="20"/>
              </w:rPr>
              <w:t>Investigate the application and appointment ratios across classification levels to identify ways to disrupt the status quo.</w:t>
            </w:r>
          </w:p>
          <w:p w14:paraId="04A422FF" w14:textId="77777777" w:rsidR="00B814C9" w:rsidRPr="007E4577" w:rsidRDefault="00B814C9" w:rsidP="00591798">
            <w:pPr>
              <w:pStyle w:val="ListParagraph"/>
              <w:numPr>
                <w:ilvl w:val="0"/>
                <w:numId w:val="7"/>
              </w:numPr>
              <w:spacing w:after="20"/>
              <w:ind w:left="357" w:hanging="215"/>
              <w:contextualSpacing w:val="0"/>
              <w:rPr>
                <w:rFonts w:ascii="Arial" w:hAnsi="Arial" w:cs="Arial"/>
                <w:sz w:val="20"/>
                <w:szCs w:val="20"/>
              </w:rPr>
            </w:pPr>
            <w:r w:rsidRPr="007E4577">
              <w:rPr>
                <w:rFonts w:ascii="Arial" w:hAnsi="Arial" w:cs="Arial"/>
                <w:sz w:val="20"/>
                <w:szCs w:val="20"/>
              </w:rPr>
              <w:t>Develop attraction strategies that break barriers to attracting talents from diverse backgrounds and groups.</w:t>
            </w:r>
          </w:p>
          <w:p w14:paraId="27DF5174" w14:textId="77777777" w:rsidR="00B814C9" w:rsidRDefault="00B814C9" w:rsidP="00591798">
            <w:pPr>
              <w:pStyle w:val="ListParagraph"/>
              <w:numPr>
                <w:ilvl w:val="0"/>
                <w:numId w:val="7"/>
              </w:numPr>
              <w:spacing w:after="20"/>
              <w:ind w:left="357" w:hanging="215"/>
              <w:contextualSpacing w:val="0"/>
              <w:rPr>
                <w:rFonts w:ascii="Arial" w:hAnsi="Arial" w:cs="Arial"/>
                <w:sz w:val="20"/>
                <w:szCs w:val="20"/>
              </w:rPr>
            </w:pPr>
            <w:r w:rsidRPr="007E4577">
              <w:rPr>
                <w:rFonts w:ascii="Arial" w:hAnsi="Arial" w:cs="Arial"/>
                <w:sz w:val="20"/>
                <w:szCs w:val="20"/>
              </w:rPr>
              <w:t>Embed inclusive recruitment practices, allowing all candidates equal opportunities to showcase their skills and lived experience relevant to the job.</w:t>
            </w:r>
          </w:p>
          <w:p w14:paraId="1293023B" w14:textId="77777777" w:rsidR="00591798" w:rsidRDefault="00591798" w:rsidP="00591798">
            <w:pPr>
              <w:pStyle w:val="ListParagraph"/>
              <w:numPr>
                <w:ilvl w:val="0"/>
                <w:numId w:val="7"/>
              </w:numPr>
              <w:spacing w:after="20"/>
              <w:ind w:left="357" w:hanging="215"/>
              <w:contextualSpacing w:val="0"/>
              <w:rPr>
                <w:rFonts w:ascii="Arial" w:hAnsi="Arial" w:cs="Arial"/>
                <w:sz w:val="20"/>
                <w:szCs w:val="20"/>
              </w:rPr>
            </w:pPr>
            <w:r>
              <w:rPr>
                <w:rFonts w:ascii="Arial" w:hAnsi="Arial" w:cs="Arial"/>
                <w:sz w:val="20"/>
                <w:szCs w:val="20"/>
              </w:rPr>
              <w:t>During recruitment, provide opportunities for candidates to demonstrate their ability to contribute to a healthy, inclusive workplace culture.</w:t>
            </w:r>
          </w:p>
          <w:p w14:paraId="3D448730" w14:textId="30323E76" w:rsidR="00B814C9" w:rsidRPr="007E4577" w:rsidRDefault="00B814C9" w:rsidP="00591798">
            <w:pPr>
              <w:pStyle w:val="ListParagraph"/>
              <w:numPr>
                <w:ilvl w:val="0"/>
                <w:numId w:val="7"/>
              </w:numPr>
              <w:spacing w:after="20"/>
              <w:ind w:left="357" w:hanging="215"/>
              <w:contextualSpacing w:val="0"/>
              <w:rPr>
                <w:rFonts w:ascii="Arial" w:hAnsi="Arial" w:cs="Arial"/>
                <w:sz w:val="20"/>
                <w:szCs w:val="20"/>
              </w:rPr>
            </w:pPr>
            <w:r w:rsidRPr="007D0A23">
              <w:rPr>
                <w:rFonts w:ascii="Arial" w:hAnsi="Arial" w:cs="Arial"/>
                <w:sz w:val="20"/>
                <w:szCs w:val="20"/>
              </w:rPr>
              <w:t>Establish identified positions within the central recruitment team to enhance a cultural lens across attraction, recruitment and retention processes, practices and resources.</w:t>
            </w:r>
          </w:p>
          <w:p w14:paraId="67F8550D" w14:textId="05D3FA34" w:rsidR="00B814C9" w:rsidRPr="00591798" w:rsidRDefault="00B814C9" w:rsidP="00591798">
            <w:pPr>
              <w:pStyle w:val="ListParagraph"/>
              <w:numPr>
                <w:ilvl w:val="0"/>
                <w:numId w:val="7"/>
              </w:numPr>
              <w:ind w:hanging="216"/>
              <w:rPr>
                <w:rFonts w:ascii="Arial" w:hAnsi="Arial" w:cs="Arial"/>
                <w:sz w:val="20"/>
                <w:szCs w:val="20"/>
              </w:rPr>
            </w:pPr>
            <w:r w:rsidRPr="007E4577">
              <w:rPr>
                <w:rFonts w:ascii="Arial" w:hAnsi="Arial" w:cs="Arial"/>
                <w:sz w:val="20"/>
                <w:szCs w:val="20"/>
              </w:rPr>
              <w:t>Offer traineeships to students from diverse backgrounds as a career entry pathway.</w:t>
            </w:r>
          </w:p>
        </w:tc>
        <w:tc>
          <w:tcPr>
            <w:tcW w:w="540" w:type="pct"/>
            <w:tcBorders>
              <w:left w:val="nil"/>
              <w:right w:val="nil"/>
            </w:tcBorders>
            <w:tcMar>
              <w:top w:w="28" w:type="dxa"/>
              <w:left w:w="28" w:type="dxa"/>
              <w:bottom w:w="28" w:type="dxa"/>
              <w:right w:w="28" w:type="dxa"/>
            </w:tcMar>
          </w:tcPr>
          <w:p w14:paraId="3B1D4822" w14:textId="015E246C" w:rsidR="00B814C9" w:rsidRDefault="00591798" w:rsidP="00591798">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 xml:space="preserve">Improvement in inclusive recruitment and hiring </w:t>
            </w:r>
            <w:proofErr w:type="gramStart"/>
            <w:r>
              <w:rPr>
                <w:rFonts w:ascii="Arial" w:hAnsi="Arial" w:cs="Arial"/>
                <w:sz w:val="20"/>
                <w:szCs w:val="20"/>
              </w:rPr>
              <w:t>practices</w:t>
            </w:r>
            <w:proofErr w:type="gramEnd"/>
          </w:p>
          <w:p w14:paraId="3CE3D533" w14:textId="6569154E" w:rsidR="00591798" w:rsidRPr="00591798" w:rsidRDefault="00591798" w:rsidP="00591798">
            <w:pPr>
              <w:pStyle w:val="ListParagraph"/>
              <w:numPr>
                <w:ilvl w:val="0"/>
                <w:numId w:val="10"/>
              </w:numPr>
              <w:spacing w:after="240"/>
              <w:ind w:left="182" w:hanging="176"/>
              <w:contextualSpacing w:val="0"/>
              <w:rPr>
                <w:rFonts w:ascii="Arial" w:hAnsi="Arial" w:cs="Arial"/>
                <w:sz w:val="20"/>
                <w:szCs w:val="20"/>
              </w:rPr>
            </w:pPr>
            <w:r>
              <w:rPr>
                <w:rFonts w:ascii="Arial" w:hAnsi="Arial" w:cs="Arial"/>
                <w:sz w:val="20"/>
                <w:szCs w:val="20"/>
              </w:rPr>
              <w:t>Identified recruitment positions established</w:t>
            </w:r>
          </w:p>
        </w:tc>
        <w:tc>
          <w:tcPr>
            <w:tcW w:w="473" w:type="pct"/>
            <w:gridSpan w:val="2"/>
            <w:tcBorders>
              <w:left w:val="nil"/>
              <w:right w:val="nil"/>
            </w:tcBorders>
            <w:tcMar>
              <w:top w:w="28" w:type="dxa"/>
              <w:left w:w="28" w:type="dxa"/>
              <w:bottom w:w="28" w:type="dxa"/>
              <w:right w:w="28" w:type="dxa"/>
            </w:tcMar>
          </w:tcPr>
          <w:p w14:paraId="69ABF318" w14:textId="77777777" w:rsidR="00B814C9" w:rsidRPr="00CC3591" w:rsidRDefault="00B814C9" w:rsidP="003C11E1">
            <w:pPr>
              <w:pStyle w:val="ListParagraph"/>
              <w:numPr>
                <w:ilvl w:val="0"/>
                <w:numId w:val="10"/>
              </w:numPr>
              <w:spacing w:after="40"/>
              <w:ind w:left="182" w:hanging="176"/>
              <w:contextualSpacing w:val="0"/>
              <w:rPr>
                <w:rFonts w:ascii="Arial" w:hAnsi="Arial" w:cs="Arial"/>
                <w:sz w:val="20"/>
                <w:szCs w:val="20"/>
              </w:rPr>
            </w:pPr>
            <w:r w:rsidRPr="00E204B2">
              <w:rPr>
                <w:rFonts w:ascii="Arial" w:hAnsi="Arial" w:cs="Arial"/>
                <w:sz w:val="20"/>
                <w:szCs w:val="20"/>
              </w:rPr>
              <w:t>People and Culture</w:t>
            </w:r>
          </w:p>
        </w:tc>
      </w:tr>
      <w:tr w:rsidR="003C11E1" w:rsidRPr="00E81711" w14:paraId="5CC50D04" w14:textId="77777777" w:rsidTr="00B814C9">
        <w:trPr>
          <w:gridAfter w:val="1"/>
          <w:wAfter w:w="4" w:type="pct"/>
          <w:trHeight w:val="132"/>
        </w:trPr>
        <w:tc>
          <w:tcPr>
            <w:tcW w:w="102" w:type="pct"/>
            <w:tcBorders>
              <w:left w:val="nil"/>
              <w:right w:val="nil"/>
            </w:tcBorders>
            <w:shd w:val="clear" w:color="auto" w:fill="D0E0F0"/>
            <w:tcMar>
              <w:left w:w="28" w:type="dxa"/>
              <w:right w:w="28" w:type="dxa"/>
            </w:tcMar>
          </w:tcPr>
          <w:p w14:paraId="1D66FB76" w14:textId="77777777" w:rsidR="003C11E1" w:rsidRDefault="003C11E1" w:rsidP="00E50993">
            <w:pPr>
              <w:spacing w:before="20" w:after="40"/>
              <w:rPr>
                <w:b/>
                <w:bCs/>
                <w:sz w:val="28"/>
                <w:szCs w:val="28"/>
              </w:rPr>
            </w:pPr>
          </w:p>
        </w:tc>
        <w:tc>
          <w:tcPr>
            <w:tcW w:w="4894" w:type="pct"/>
            <w:gridSpan w:val="4"/>
            <w:tcBorders>
              <w:left w:val="nil"/>
              <w:right w:val="nil"/>
            </w:tcBorders>
            <w:shd w:val="clear" w:color="auto" w:fill="D0E0F0"/>
            <w:tcMar>
              <w:top w:w="28" w:type="dxa"/>
              <w:left w:w="28" w:type="dxa"/>
              <w:bottom w:w="28" w:type="dxa"/>
              <w:right w:w="28" w:type="dxa"/>
            </w:tcMar>
            <w:vAlign w:val="center"/>
          </w:tcPr>
          <w:p w14:paraId="12C9A4D4" w14:textId="77777777" w:rsidR="003C11E1" w:rsidRDefault="003C11E1" w:rsidP="00E50993">
            <w:pPr>
              <w:spacing w:before="20" w:after="40"/>
              <w:rPr>
                <w:b/>
                <w:bCs/>
                <w:sz w:val="28"/>
                <w:szCs w:val="28"/>
              </w:rPr>
            </w:pPr>
            <w:r>
              <w:rPr>
                <w:b/>
                <w:bCs/>
                <w:sz w:val="28"/>
                <w:szCs w:val="28"/>
              </w:rPr>
              <w:t xml:space="preserve">Value </w:t>
            </w:r>
            <w:r w:rsidRPr="00281CE2">
              <w:rPr>
                <w:sz w:val="20"/>
                <w:szCs w:val="20"/>
              </w:rPr>
              <w:t>—</w:t>
            </w:r>
            <w:r>
              <w:rPr>
                <w:sz w:val="20"/>
                <w:szCs w:val="20"/>
              </w:rPr>
              <w:t xml:space="preserve"> </w:t>
            </w:r>
            <w:r w:rsidRPr="00283913">
              <w:t>Support our staff through collaborative design of strategic solutions which value and leverage the advantages diversity provides.</w:t>
            </w:r>
          </w:p>
        </w:tc>
      </w:tr>
      <w:tr w:rsidR="00B814C9" w:rsidRPr="00E81711" w14:paraId="3504CBB9" w14:textId="77777777" w:rsidTr="007963A8">
        <w:trPr>
          <w:trHeight w:val="1591"/>
        </w:trPr>
        <w:tc>
          <w:tcPr>
            <w:tcW w:w="102" w:type="pct"/>
            <w:tcBorders>
              <w:left w:val="nil"/>
              <w:right w:val="nil"/>
            </w:tcBorders>
            <w:tcMar>
              <w:left w:w="28" w:type="dxa"/>
              <w:right w:w="28" w:type="dxa"/>
            </w:tcMar>
          </w:tcPr>
          <w:p w14:paraId="0E912E8B" w14:textId="77777777" w:rsidR="00B814C9" w:rsidRPr="00591798" w:rsidRDefault="00B814C9" w:rsidP="00E50993">
            <w:pPr>
              <w:jc w:val="center"/>
              <w:rPr>
                <w:b/>
                <w:bCs/>
                <w:sz w:val="20"/>
                <w:szCs w:val="20"/>
              </w:rPr>
            </w:pPr>
            <w:r w:rsidRPr="00591798">
              <w:rPr>
                <w:b/>
                <w:bCs/>
                <w:sz w:val="20"/>
                <w:szCs w:val="20"/>
              </w:rPr>
              <w:t>V1</w:t>
            </w:r>
          </w:p>
        </w:tc>
        <w:tc>
          <w:tcPr>
            <w:tcW w:w="709" w:type="pct"/>
            <w:tcBorders>
              <w:left w:val="nil"/>
              <w:right w:val="nil"/>
            </w:tcBorders>
            <w:shd w:val="clear" w:color="auto" w:fill="auto"/>
            <w:tcMar>
              <w:top w:w="28" w:type="dxa"/>
              <w:left w:w="28" w:type="dxa"/>
              <w:bottom w:w="28" w:type="dxa"/>
              <w:right w:w="28" w:type="dxa"/>
            </w:tcMar>
          </w:tcPr>
          <w:p w14:paraId="72B34709" w14:textId="77777777" w:rsidR="00B814C9" w:rsidRPr="007E4577" w:rsidRDefault="00B814C9" w:rsidP="00E50993">
            <w:pPr>
              <w:rPr>
                <w:sz w:val="20"/>
                <w:szCs w:val="20"/>
              </w:rPr>
            </w:pPr>
            <w:r w:rsidRPr="007E4577">
              <w:rPr>
                <w:sz w:val="20"/>
                <w:szCs w:val="20"/>
              </w:rPr>
              <w:t>Embrace and celebrate diversity and leverage the advantages it provides.</w:t>
            </w:r>
          </w:p>
        </w:tc>
        <w:tc>
          <w:tcPr>
            <w:tcW w:w="3176" w:type="pct"/>
            <w:tcBorders>
              <w:left w:val="nil"/>
              <w:right w:val="nil"/>
            </w:tcBorders>
            <w:tcMar>
              <w:top w:w="28" w:type="dxa"/>
              <w:left w:w="28" w:type="dxa"/>
              <w:bottom w:w="28" w:type="dxa"/>
              <w:right w:w="28" w:type="dxa"/>
            </w:tcMar>
          </w:tcPr>
          <w:p w14:paraId="62B91B7B" w14:textId="77777777" w:rsidR="00B814C9" w:rsidRPr="007E4577" w:rsidRDefault="00B814C9" w:rsidP="00591798">
            <w:pPr>
              <w:pStyle w:val="ListParagraph"/>
              <w:numPr>
                <w:ilvl w:val="0"/>
                <w:numId w:val="7"/>
              </w:numPr>
              <w:spacing w:after="20"/>
              <w:ind w:left="357" w:hanging="215"/>
              <w:contextualSpacing w:val="0"/>
              <w:rPr>
                <w:rFonts w:ascii="Arial" w:hAnsi="Arial" w:cs="Arial"/>
                <w:sz w:val="20"/>
                <w:szCs w:val="20"/>
              </w:rPr>
            </w:pPr>
            <w:r w:rsidRPr="007E4577">
              <w:rPr>
                <w:rFonts w:ascii="Arial" w:hAnsi="Arial" w:cs="Arial"/>
                <w:sz w:val="20"/>
                <w:szCs w:val="20"/>
              </w:rPr>
              <w:t>Maintain and promote a diversity and inclusion calendar of events and take an active part in some of those events to provide opportunities to increase understanding and appreciation of diversity in all its forms and to encourage and empower staff to celebrate difference.</w:t>
            </w:r>
          </w:p>
          <w:p w14:paraId="72601738" w14:textId="77777777" w:rsidR="00B814C9" w:rsidRDefault="00B814C9" w:rsidP="00591798">
            <w:pPr>
              <w:pStyle w:val="ListParagraph"/>
              <w:numPr>
                <w:ilvl w:val="0"/>
                <w:numId w:val="7"/>
              </w:numPr>
              <w:spacing w:after="20"/>
              <w:ind w:left="357" w:hanging="215"/>
              <w:contextualSpacing w:val="0"/>
              <w:rPr>
                <w:rFonts w:ascii="Arial" w:hAnsi="Arial" w:cs="Arial"/>
                <w:sz w:val="20"/>
                <w:szCs w:val="20"/>
              </w:rPr>
            </w:pPr>
            <w:r w:rsidRPr="007E4577">
              <w:rPr>
                <w:rFonts w:ascii="Arial" w:hAnsi="Arial" w:cs="Arial"/>
                <w:sz w:val="20"/>
                <w:szCs w:val="20"/>
              </w:rPr>
              <w:t>Harness the expertise, experience and interest of the Inclusion and Diversity Network and its subgroups to advise on and drive initiatives.</w:t>
            </w:r>
          </w:p>
          <w:p w14:paraId="06854BAD" w14:textId="77777777" w:rsidR="00B814C9" w:rsidRDefault="00B814C9" w:rsidP="00591798">
            <w:pPr>
              <w:pStyle w:val="ListParagraph"/>
              <w:numPr>
                <w:ilvl w:val="0"/>
                <w:numId w:val="7"/>
              </w:numPr>
              <w:spacing w:after="20"/>
              <w:ind w:left="357" w:hanging="215"/>
              <w:contextualSpacing w:val="0"/>
              <w:rPr>
                <w:rFonts w:ascii="Arial" w:hAnsi="Arial" w:cs="Arial"/>
                <w:sz w:val="20"/>
                <w:szCs w:val="20"/>
              </w:rPr>
            </w:pPr>
            <w:r w:rsidRPr="007E4577">
              <w:rPr>
                <w:rFonts w:ascii="Arial" w:hAnsi="Arial" w:cs="Arial"/>
                <w:sz w:val="20"/>
                <w:szCs w:val="20"/>
              </w:rPr>
              <w:t>Create communication, consultation and support channels and networks with staff and stakeholders from relevant diversity groups.</w:t>
            </w:r>
          </w:p>
          <w:p w14:paraId="42B4E039" w14:textId="77777777" w:rsidR="00B814C9" w:rsidRPr="007E4577" w:rsidRDefault="00B814C9" w:rsidP="003C11E1">
            <w:pPr>
              <w:pStyle w:val="ListParagraph"/>
              <w:numPr>
                <w:ilvl w:val="0"/>
                <w:numId w:val="7"/>
              </w:numPr>
              <w:ind w:hanging="216"/>
              <w:rPr>
                <w:rFonts w:ascii="Arial" w:hAnsi="Arial" w:cs="Arial"/>
                <w:sz w:val="20"/>
                <w:szCs w:val="20"/>
              </w:rPr>
            </w:pPr>
            <w:r w:rsidRPr="00EB41FC">
              <w:rPr>
                <w:rFonts w:ascii="Arial" w:hAnsi="Arial" w:cs="Arial"/>
                <w:sz w:val="20"/>
                <w:szCs w:val="20"/>
              </w:rPr>
              <w:t xml:space="preserve">Celebrate and promote inclusion and diversity through the Staff Excellence Awards and actively increase focus on positive initiatives across the </w:t>
            </w:r>
            <w:r>
              <w:rPr>
                <w:rFonts w:ascii="Arial" w:hAnsi="Arial" w:cs="Arial"/>
                <w:sz w:val="20"/>
                <w:szCs w:val="20"/>
              </w:rPr>
              <w:t>department</w:t>
            </w:r>
            <w:r w:rsidRPr="00EB41FC">
              <w:rPr>
                <w:rFonts w:ascii="Arial" w:hAnsi="Arial" w:cs="Arial"/>
                <w:sz w:val="20"/>
                <w:szCs w:val="20"/>
              </w:rPr>
              <w:t>.</w:t>
            </w:r>
          </w:p>
        </w:tc>
        <w:tc>
          <w:tcPr>
            <w:tcW w:w="540" w:type="pct"/>
            <w:tcBorders>
              <w:left w:val="nil"/>
              <w:right w:val="nil"/>
            </w:tcBorders>
            <w:tcMar>
              <w:top w:w="28" w:type="dxa"/>
              <w:left w:w="28" w:type="dxa"/>
              <w:bottom w:w="28" w:type="dxa"/>
              <w:right w:w="28" w:type="dxa"/>
            </w:tcMar>
          </w:tcPr>
          <w:p w14:paraId="300AC346" w14:textId="21D2BFD0" w:rsidR="00B814C9" w:rsidRPr="007E4577" w:rsidRDefault="00B814C9" w:rsidP="003C11E1">
            <w:pPr>
              <w:pStyle w:val="ListParagraph"/>
              <w:numPr>
                <w:ilvl w:val="0"/>
                <w:numId w:val="10"/>
              </w:numPr>
              <w:spacing w:after="40"/>
              <w:ind w:left="182" w:hanging="176"/>
              <w:contextualSpacing w:val="0"/>
              <w:rPr>
                <w:rFonts w:ascii="Arial" w:hAnsi="Arial" w:cs="Arial"/>
                <w:sz w:val="20"/>
                <w:szCs w:val="20"/>
              </w:rPr>
            </w:pPr>
            <w:r w:rsidRPr="00EB41FC">
              <w:rPr>
                <w:rFonts w:ascii="Arial" w:hAnsi="Arial" w:cs="Arial"/>
                <w:sz w:val="20"/>
                <w:szCs w:val="20"/>
              </w:rPr>
              <w:t xml:space="preserve">Increased nominations for the Diversity and Inclusion category </w:t>
            </w:r>
            <w:r>
              <w:rPr>
                <w:rFonts w:ascii="Arial" w:hAnsi="Arial" w:cs="Arial"/>
                <w:sz w:val="20"/>
                <w:szCs w:val="20"/>
              </w:rPr>
              <w:t>of</w:t>
            </w:r>
            <w:r w:rsidRPr="00EB41FC">
              <w:rPr>
                <w:rFonts w:ascii="Arial" w:hAnsi="Arial" w:cs="Arial"/>
                <w:sz w:val="20"/>
                <w:szCs w:val="20"/>
              </w:rPr>
              <w:t xml:space="preserve"> the Staff Excellence Awards</w:t>
            </w:r>
            <w:r>
              <w:rPr>
                <w:rFonts w:ascii="Arial" w:hAnsi="Arial" w:cs="Arial"/>
                <w:sz w:val="20"/>
                <w:szCs w:val="20"/>
              </w:rPr>
              <w:t xml:space="preserve"> — July 2024</w:t>
            </w:r>
          </w:p>
        </w:tc>
        <w:tc>
          <w:tcPr>
            <w:tcW w:w="473" w:type="pct"/>
            <w:gridSpan w:val="2"/>
            <w:tcBorders>
              <w:left w:val="nil"/>
              <w:right w:val="nil"/>
            </w:tcBorders>
            <w:tcMar>
              <w:top w:w="28" w:type="dxa"/>
              <w:left w:w="28" w:type="dxa"/>
              <w:bottom w:w="28" w:type="dxa"/>
              <w:right w:w="28" w:type="dxa"/>
            </w:tcMar>
          </w:tcPr>
          <w:p w14:paraId="0F2B32A8" w14:textId="77777777" w:rsidR="00B814C9" w:rsidRPr="007E4577" w:rsidRDefault="00B814C9" w:rsidP="003C11E1">
            <w:pPr>
              <w:pStyle w:val="ListParagraph"/>
              <w:numPr>
                <w:ilvl w:val="0"/>
                <w:numId w:val="10"/>
              </w:numPr>
              <w:spacing w:after="40"/>
              <w:ind w:left="182" w:hanging="176"/>
              <w:contextualSpacing w:val="0"/>
              <w:rPr>
                <w:rFonts w:ascii="Arial" w:hAnsi="Arial" w:cs="Arial"/>
                <w:sz w:val="20"/>
                <w:szCs w:val="20"/>
              </w:rPr>
            </w:pPr>
            <w:r w:rsidRPr="007E4577">
              <w:rPr>
                <w:rFonts w:ascii="Arial" w:hAnsi="Arial" w:cs="Arial"/>
                <w:sz w:val="20"/>
                <w:szCs w:val="20"/>
              </w:rPr>
              <w:t>People and Culture</w:t>
            </w:r>
          </w:p>
          <w:p w14:paraId="07431EE4" w14:textId="77777777" w:rsidR="00B814C9" w:rsidRPr="007E4577" w:rsidRDefault="00B814C9" w:rsidP="003C11E1">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Seniors, Disability and Carers</w:t>
            </w:r>
          </w:p>
        </w:tc>
      </w:tr>
      <w:tr w:rsidR="00B814C9" w:rsidRPr="00E81711" w14:paraId="7CD9D002" w14:textId="77777777" w:rsidTr="00B072B0">
        <w:trPr>
          <w:trHeight w:val="169"/>
        </w:trPr>
        <w:tc>
          <w:tcPr>
            <w:tcW w:w="102" w:type="pct"/>
            <w:tcBorders>
              <w:left w:val="nil"/>
              <w:right w:val="nil"/>
            </w:tcBorders>
            <w:tcMar>
              <w:left w:w="28" w:type="dxa"/>
              <w:right w:w="28" w:type="dxa"/>
            </w:tcMar>
          </w:tcPr>
          <w:p w14:paraId="14084935" w14:textId="77777777" w:rsidR="00B814C9" w:rsidRPr="00591798" w:rsidRDefault="00B814C9" w:rsidP="00E50993">
            <w:pPr>
              <w:jc w:val="center"/>
              <w:rPr>
                <w:b/>
                <w:bCs/>
                <w:i/>
                <w:iCs/>
                <w:sz w:val="20"/>
                <w:szCs w:val="20"/>
              </w:rPr>
            </w:pPr>
            <w:r w:rsidRPr="00591798">
              <w:rPr>
                <w:b/>
                <w:bCs/>
                <w:sz w:val="20"/>
                <w:szCs w:val="20"/>
              </w:rPr>
              <w:t>V2</w:t>
            </w:r>
          </w:p>
        </w:tc>
        <w:tc>
          <w:tcPr>
            <w:tcW w:w="709" w:type="pct"/>
            <w:tcBorders>
              <w:left w:val="nil"/>
              <w:right w:val="nil"/>
            </w:tcBorders>
            <w:shd w:val="clear" w:color="auto" w:fill="auto"/>
            <w:tcMar>
              <w:top w:w="28" w:type="dxa"/>
              <w:left w:w="28" w:type="dxa"/>
              <w:bottom w:w="28" w:type="dxa"/>
              <w:right w:w="28" w:type="dxa"/>
            </w:tcMar>
          </w:tcPr>
          <w:p w14:paraId="1CED374B" w14:textId="77777777" w:rsidR="00B814C9" w:rsidRPr="007E4577" w:rsidRDefault="00B814C9" w:rsidP="00E50993">
            <w:pPr>
              <w:rPr>
                <w:sz w:val="20"/>
                <w:szCs w:val="20"/>
              </w:rPr>
            </w:pPr>
            <w:r w:rsidRPr="007E4577">
              <w:rPr>
                <w:sz w:val="20"/>
                <w:szCs w:val="20"/>
              </w:rPr>
              <w:t>Ensure all staff feel included and supported to do their best work.</w:t>
            </w:r>
          </w:p>
        </w:tc>
        <w:tc>
          <w:tcPr>
            <w:tcW w:w="3176" w:type="pct"/>
            <w:tcBorders>
              <w:left w:val="nil"/>
              <w:right w:val="nil"/>
            </w:tcBorders>
            <w:tcMar>
              <w:top w:w="28" w:type="dxa"/>
              <w:left w:w="28" w:type="dxa"/>
              <w:bottom w:w="28" w:type="dxa"/>
              <w:right w:w="28" w:type="dxa"/>
            </w:tcMar>
          </w:tcPr>
          <w:p w14:paraId="536F0532" w14:textId="77777777" w:rsidR="00B814C9" w:rsidRPr="007E4577" w:rsidRDefault="00B814C9" w:rsidP="00591798">
            <w:pPr>
              <w:pStyle w:val="ListParagraph"/>
              <w:numPr>
                <w:ilvl w:val="0"/>
                <w:numId w:val="10"/>
              </w:numPr>
              <w:spacing w:after="20"/>
              <w:ind w:left="454" w:hanging="284"/>
              <w:contextualSpacing w:val="0"/>
              <w:rPr>
                <w:rFonts w:ascii="Arial" w:hAnsi="Arial" w:cs="Arial"/>
                <w:sz w:val="20"/>
                <w:szCs w:val="20"/>
              </w:rPr>
            </w:pPr>
            <w:r w:rsidRPr="007E4577">
              <w:rPr>
                <w:rFonts w:ascii="Arial" w:hAnsi="Arial" w:cs="Arial"/>
                <w:sz w:val="20"/>
                <w:szCs w:val="20"/>
              </w:rPr>
              <w:t>Improve access to reasonable adjustments and flexible work arrangements.</w:t>
            </w:r>
          </w:p>
          <w:p w14:paraId="65273DE8" w14:textId="77777777" w:rsidR="00B814C9" w:rsidRPr="007E4577" w:rsidRDefault="00B814C9" w:rsidP="00591798">
            <w:pPr>
              <w:pStyle w:val="ListParagraph"/>
              <w:numPr>
                <w:ilvl w:val="0"/>
                <w:numId w:val="10"/>
              </w:numPr>
              <w:spacing w:after="20"/>
              <w:ind w:left="454" w:hanging="284"/>
              <w:contextualSpacing w:val="0"/>
              <w:rPr>
                <w:rFonts w:ascii="Arial" w:hAnsi="Arial" w:cs="Arial"/>
                <w:sz w:val="20"/>
                <w:szCs w:val="20"/>
              </w:rPr>
            </w:pPr>
            <w:r w:rsidRPr="007E4577">
              <w:rPr>
                <w:rFonts w:ascii="Arial" w:hAnsi="Arial" w:cs="Arial"/>
                <w:sz w:val="20"/>
                <w:szCs w:val="20"/>
              </w:rPr>
              <w:t>Explore EAS providers who can appropriately support our diverse employees.</w:t>
            </w:r>
          </w:p>
          <w:p w14:paraId="2D7ED8F4" w14:textId="77777777" w:rsidR="00B814C9" w:rsidRPr="007E4577" w:rsidRDefault="00B814C9" w:rsidP="00591798">
            <w:pPr>
              <w:pStyle w:val="ListParagraph"/>
              <w:numPr>
                <w:ilvl w:val="0"/>
                <w:numId w:val="11"/>
              </w:numPr>
              <w:spacing w:after="20"/>
              <w:ind w:left="454" w:hanging="284"/>
              <w:contextualSpacing w:val="0"/>
              <w:rPr>
                <w:rFonts w:ascii="Arial" w:hAnsi="Arial" w:cs="Arial"/>
                <w:sz w:val="20"/>
                <w:szCs w:val="20"/>
              </w:rPr>
            </w:pPr>
            <w:r w:rsidRPr="007E4577">
              <w:rPr>
                <w:rFonts w:ascii="Arial" w:hAnsi="Arial" w:cs="Arial"/>
                <w:sz w:val="20"/>
                <w:szCs w:val="20"/>
              </w:rPr>
              <w:t>Promote access to flexible working arrangements for all employees, where possible, and highlight the options available to carers and parents.</w:t>
            </w:r>
          </w:p>
          <w:p w14:paraId="7655E327" w14:textId="77777777" w:rsidR="00B814C9" w:rsidRDefault="00B814C9" w:rsidP="00591798">
            <w:pPr>
              <w:pStyle w:val="ListParagraph"/>
              <w:numPr>
                <w:ilvl w:val="0"/>
                <w:numId w:val="11"/>
              </w:numPr>
              <w:spacing w:after="20"/>
              <w:ind w:left="454" w:hanging="284"/>
              <w:contextualSpacing w:val="0"/>
              <w:rPr>
                <w:rFonts w:ascii="Arial" w:hAnsi="Arial" w:cs="Arial"/>
                <w:sz w:val="20"/>
                <w:szCs w:val="20"/>
              </w:rPr>
            </w:pPr>
            <w:r w:rsidRPr="007E4577">
              <w:rPr>
                <w:rFonts w:ascii="Arial" w:hAnsi="Arial" w:cs="Arial"/>
                <w:sz w:val="20"/>
                <w:szCs w:val="20"/>
              </w:rPr>
              <w:t>Ensure inclusion resources on the intranet are accessible, practical and contemporary.</w:t>
            </w:r>
          </w:p>
          <w:p w14:paraId="57F83931" w14:textId="77777777" w:rsidR="00B814C9" w:rsidRDefault="00B814C9" w:rsidP="00591798">
            <w:pPr>
              <w:pStyle w:val="ListParagraph"/>
              <w:numPr>
                <w:ilvl w:val="0"/>
                <w:numId w:val="11"/>
              </w:numPr>
              <w:spacing w:after="20"/>
              <w:ind w:left="454" w:hanging="283"/>
              <w:contextualSpacing w:val="0"/>
              <w:rPr>
                <w:rFonts w:ascii="Arial" w:hAnsi="Arial" w:cs="Arial"/>
                <w:sz w:val="20"/>
                <w:szCs w:val="20"/>
              </w:rPr>
            </w:pPr>
            <w:r>
              <w:rPr>
                <w:rFonts w:ascii="Arial" w:hAnsi="Arial" w:cs="Arial"/>
                <w:sz w:val="20"/>
                <w:szCs w:val="20"/>
              </w:rPr>
              <w:t>Implement the relevant workforce actions in the:</w:t>
            </w:r>
          </w:p>
          <w:p w14:paraId="68B6E789" w14:textId="77777777" w:rsidR="00B814C9" w:rsidRDefault="00B814C9" w:rsidP="00591798">
            <w:pPr>
              <w:pStyle w:val="ListParagraph"/>
              <w:numPr>
                <w:ilvl w:val="1"/>
                <w:numId w:val="7"/>
              </w:numPr>
              <w:spacing w:after="20"/>
              <w:ind w:left="398" w:firstLine="0"/>
              <w:contextualSpacing w:val="0"/>
              <w:rPr>
                <w:rFonts w:ascii="Arial" w:hAnsi="Arial" w:cs="Arial"/>
                <w:sz w:val="20"/>
                <w:szCs w:val="20"/>
              </w:rPr>
            </w:pPr>
            <w:r>
              <w:rPr>
                <w:rFonts w:ascii="Arial" w:hAnsi="Arial" w:cs="Arial"/>
                <w:sz w:val="20"/>
                <w:szCs w:val="20"/>
              </w:rPr>
              <w:t xml:space="preserve">Cultural Capability Action Plan </w:t>
            </w:r>
          </w:p>
          <w:p w14:paraId="4BDD71B3" w14:textId="77777777" w:rsidR="00B814C9" w:rsidRDefault="00B814C9" w:rsidP="00591798">
            <w:pPr>
              <w:pStyle w:val="ListParagraph"/>
              <w:numPr>
                <w:ilvl w:val="1"/>
                <w:numId w:val="7"/>
              </w:numPr>
              <w:spacing w:after="20"/>
              <w:ind w:left="398" w:firstLine="0"/>
              <w:contextualSpacing w:val="0"/>
              <w:rPr>
                <w:rFonts w:ascii="Arial" w:hAnsi="Arial" w:cs="Arial"/>
                <w:sz w:val="20"/>
                <w:szCs w:val="20"/>
              </w:rPr>
            </w:pPr>
            <w:r>
              <w:rPr>
                <w:rFonts w:ascii="Arial" w:hAnsi="Arial" w:cs="Arial"/>
                <w:sz w:val="20"/>
                <w:szCs w:val="20"/>
              </w:rPr>
              <w:t>DCSSDS Disability Services Plan</w:t>
            </w:r>
          </w:p>
          <w:p w14:paraId="095FAE55" w14:textId="77777777" w:rsidR="00B814C9" w:rsidRPr="00563DC1" w:rsidRDefault="00B814C9" w:rsidP="003C11E1">
            <w:pPr>
              <w:pStyle w:val="ListParagraph"/>
              <w:numPr>
                <w:ilvl w:val="1"/>
                <w:numId w:val="7"/>
              </w:numPr>
              <w:ind w:left="398" w:firstLine="0"/>
              <w:rPr>
                <w:rFonts w:ascii="Arial" w:hAnsi="Arial" w:cs="Arial"/>
                <w:sz w:val="20"/>
                <w:szCs w:val="20"/>
              </w:rPr>
            </w:pPr>
            <w:r>
              <w:rPr>
                <w:rFonts w:ascii="Arial" w:hAnsi="Arial" w:cs="Arial"/>
                <w:sz w:val="20"/>
                <w:szCs w:val="20"/>
              </w:rPr>
              <w:t>Multicultural Action Plan</w:t>
            </w:r>
          </w:p>
        </w:tc>
        <w:tc>
          <w:tcPr>
            <w:tcW w:w="540" w:type="pct"/>
            <w:tcBorders>
              <w:left w:val="nil"/>
              <w:right w:val="nil"/>
            </w:tcBorders>
            <w:tcMar>
              <w:top w:w="28" w:type="dxa"/>
              <w:left w:w="28" w:type="dxa"/>
              <w:bottom w:w="28" w:type="dxa"/>
              <w:right w:w="28" w:type="dxa"/>
            </w:tcMar>
          </w:tcPr>
          <w:p w14:paraId="27BC9B4B" w14:textId="77777777" w:rsidR="00B814C9" w:rsidRDefault="00591798" w:rsidP="00591798">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 xml:space="preserve">Adjustments policy finalised and </w:t>
            </w:r>
            <w:proofErr w:type="gramStart"/>
            <w:r>
              <w:rPr>
                <w:rFonts w:ascii="Arial" w:hAnsi="Arial" w:cs="Arial"/>
                <w:sz w:val="20"/>
                <w:szCs w:val="20"/>
              </w:rPr>
              <w:t>promoted</w:t>
            </w:r>
            <w:proofErr w:type="gramEnd"/>
          </w:p>
          <w:p w14:paraId="36AF9F3D" w14:textId="28168557" w:rsidR="00591798" w:rsidRPr="00E31F6D" w:rsidRDefault="00591798" w:rsidP="003C11E1">
            <w:pPr>
              <w:pStyle w:val="ListParagraph"/>
              <w:numPr>
                <w:ilvl w:val="0"/>
                <w:numId w:val="10"/>
              </w:numPr>
              <w:ind w:left="182" w:hanging="176"/>
              <w:contextualSpacing w:val="0"/>
              <w:rPr>
                <w:rFonts w:ascii="Arial" w:hAnsi="Arial" w:cs="Arial"/>
                <w:sz w:val="20"/>
                <w:szCs w:val="20"/>
              </w:rPr>
            </w:pPr>
            <w:r>
              <w:rPr>
                <w:rFonts w:ascii="Arial" w:hAnsi="Arial" w:cs="Arial"/>
                <w:sz w:val="20"/>
                <w:szCs w:val="20"/>
              </w:rPr>
              <w:t>Intranet resources reviewed and updated where required.</w:t>
            </w:r>
          </w:p>
        </w:tc>
        <w:tc>
          <w:tcPr>
            <w:tcW w:w="473" w:type="pct"/>
            <w:gridSpan w:val="2"/>
            <w:tcBorders>
              <w:left w:val="nil"/>
              <w:right w:val="nil"/>
            </w:tcBorders>
            <w:tcMar>
              <w:top w:w="28" w:type="dxa"/>
              <w:left w:w="28" w:type="dxa"/>
              <w:bottom w:w="28" w:type="dxa"/>
              <w:right w:w="28" w:type="dxa"/>
            </w:tcMar>
          </w:tcPr>
          <w:p w14:paraId="6C530DB5" w14:textId="77777777" w:rsidR="00B814C9" w:rsidRDefault="00B814C9" w:rsidP="003C11E1">
            <w:pPr>
              <w:pStyle w:val="ListParagraph"/>
              <w:numPr>
                <w:ilvl w:val="0"/>
                <w:numId w:val="10"/>
              </w:numPr>
              <w:spacing w:after="40"/>
              <w:ind w:left="182" w:hanging="176"/>
              <w:contextualSpacing w:val="0"/>
              <w:rPr>
                <w:rFonts w:ascii="Arial" w:hAnsi="Arial" w:cs="Arial"/>
                <w:sz w:val="20"/>
                <w:szCs w:val="20"/>
              </w:rPr>
            </w:pPr>
            <w:r w:rsidRPr="007E4577">
              <w:rPr>
                <w:rFonts w:ascii="Arial" w:hAnsi="Arial" w:cs="Arial"/>
                <w:sz w:val="20"/>
                <w:szCs w:val="20"/>
              </w:rPr>
              <w:t>People and Culture</w:t>
            </w:r>
          </w:p>
          <w:p w14:paraId="4941D01D" w14:textId="77777777" w:rsidR="00B814C9" w:rsidRPr="005827F2" w:rsidRDefault="00B814C9" w:rsidP="003C11E1">
            <w:pPr>
              <w:pStyle w:val="ListParagraph"/>
              <w:numPr>
                <w:ilvl w:val="0"/>
                <w:numId w:val="10"/>
              </w:numPr>
              <w:spacing w:after="40"/>
              <w:ind w:left="182" w:hanging="176"/>
              <w:contextualSpacing w:val="0"/>
              <w:rPr>
                <w:rFonts w:ascii="Arial" w:hAnsi="Arial" w:cs="Arial"/>
                <w:sz w:val="20"/>
                <w:szCs w:val="20"/>
              </w:rPr>
            </w:pPr>
            <w:r w:rsidRPr="00E204B2">
              <w:rPr>
                <w:rFonts w:ascii="Arial" w:hAnsi="Arial" w:cs="Arial"/>
                <w:sz w:val="20"/>
                <w:szCs w:val="20"/>
              </w:rPr>
              <w:t>Whole department</w:t>
            </w:r>
          </w:p>
        </w:tc>
      </w:tr>
    </w:tbl>
    <w:p w14:paraId="48974FFC" w14:textId="357D2CEE" w:rsidR="00F34EF4" w:rsidRPr="009A25D1" w:rsidRDefault="00000000" w:rsidP="00B814C9">
      <w:pPr>
        <w:pStyle w:val="ListNumber"/>
        <w:numPr>
          <w:ilvl w:val="0"/>
          <w:numId w:val="0"/>
        </w:numPr>
      </w:pPr>
    </w:p>
    <w:sectPr w:rsidR="00F34EF4" w:rsidRPr="009A25D1" w:rsidSect="007B05BC">
      <w:type w:val="continuous"/>
      <w:pgSz w:w="23800" w:h="16820" w:orient="landscape"/>
      <w:pgMar w:top="2127"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110E" w14:textId="77777777" w:rsidR="00A331B3" w:rsidRDefault="00A331B3" w:rsidP="00F308AD">
      <w:r>
        <w:separator/>
      </w:r>
    </w:p>
  </w:endnote>
  <w:endnote w:type="continuationSeparator" w:id="0">
    <w:p w14:paraId="29929F09" w14:textId="77777777" w:rsidR="00A331B3" w:rsidRDefault="00A331B3" w:rsidP="00F3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B30E" w14:textId="1A3E6E63" w:rsidR="009A25D1" w:rsidRDefault="00591798" w:rsidP="009A25D1">
    <w:pPr>
      <w:pStyle w:val="Footer"/>
      <w:tabs>
        <w:tab w:val="clear" w:pos="4680"/>
        <w:tab w:val="clear" w:pos="9360"/>
        <w:tab w:val="right" w:pos="20838"/>
      </w:tabs>
    </w:pPr>
    <w:r>
      <w:t>Equity and Diversity Plan 2023–24</w:t>
    </w:r>
    <w:r w:rsidR="009A25D1">
      <w:tab/>
    </w:r>
    <w:r w:rsidR="009A25D1">
      <w:fldChar w:fldCharType="begin"/>
    </w:r>
    <w:r w:rsidR="009A25D1">
      <w:instrText xml:space="preserve"> PAGE   \* MERGEFORMAT </w:instrText>
    </w:r>
    <w:r w:rsidR="009A25D1">
      <w:fldChar w:fldCharType="separate"/>
    </w:r>
    <w:r w:rsidR="009A25D1">
      <w:t>2</w:t>
    </w:r>
    <w:r w:rsidR="009A25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5819" w14:textId="43DD6545" w:rsidR="009A25D1" w:rsidRDefault="009A25D1">
    <w:pPr>
      <w:pStyle w:val="Footer"/>
    </w:pPr>
    <w:r>
      <w:rPr>
        <w:noProof/>
      </w:rPr>
      <w:drawing>
        <wp:anchor distT="0" distB="0" distL="114300" distR="114300" simplePos="0" relativeHeight="251664384" behindDoc="1" locked="0" layoutInCell="1" allowOverlap="1" wp14:anchorId="1F82DF0F" wp14:editId="2032592E">
          <wp:simplePos x="0" y="0"/>
          <wp:positionH relativeFrom="page">
            <wp:align>left</wp:align>
          </wp:positionH>
          <wp:positionV relativeFrom="paragraph">
            <wp:posOffset>-475013</wp:posOffset>
          </wp:positionV>
          <wp:extent cx="15120000" cy="1044000"/>
          <wp:effectExtent l="0" t="0" r="5715" b="3810"/>
          <wp:wrapNone/>
          <wp:docPr id="1" name="Picture 2"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Queensland Government crest"/>
                  <pic:cNvPicPr/>
                </pic:nvPicPr>
                <pic:blipFill>
                  <a:blip r:embed="rId1">
                    <a:extLst>
                      <a:ext uri="{28A0092B-C50C-407E-A947-70E740481C1C}">
                        <a14:useLocalDpi xmlns:a14="http://schemas.microsoft.com/office/drawing/2010/main" val="0"/>
                      </a:ext>
                    </a:extLst>
                  </a:blip>
                  <a:stretch>
                    <a:fillRect/>
                  </a:stretch>
                </pic:blipFill>
                <pic:spPr>
                  <a:xfrm>
                    <a:off x="0" y="0"/>
                    <a:ext cx="15120000" cy="104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7B4F" w14:textId="77777777" w:rsidR="00A331B3" w:rsidRDefault="00A331B3" w:rsidP="00F308AD">
      <w:r>
        <w:separator/>
      </w:r>
    </w:p>
  </w:footnote>
  <w:footnote w:type="continuationSeparator" w:id="0">
    <w:p w14:paraId="54537F3D" w14:textId="77777777" w:rsidR="00A331B3" w:rsidRDefault="00A331B3" w:rsidP="00F3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2D95" w14:textId="0B2E1CA3" w:rsidR="00F308AD" w:rsidRDefault="001C5914">
    <w:pPr>
      <w:pStyle w:val="Header"/>
    </w:pPr>
    <w:r>
      <w:rPr>
        <w:noProof/>
      </w:rPr>
      <w:drawing>
        <wp:anchor distT="0" distB="0" distL="114300" distR="114300" simplePos="0" relativeHeight="251662336" behindDoc="1" locked="0" layoutInCell="1" allowOverlap="1" wp14:anchorId="030D43B4" wp14:editId="21F62E07">
          <wp:simplePos x="0" y="0"/>
          <wp:positionH relativeFrom="column">
            <wp:posOffset>-923925</wp:posOffset>
          </wp:positionH>
          <wp:positionV relativeFrom="paragraph">
            <wp:posOffset>-456123</wp:posOffset>
          </wp:positionV>
          <wp:extent cx="15120000" cy="1512000"/>
          <wp:effectExtent l="0" t="0" r="5715" b="0"/>
          <wp:wrapNone/>
          <wp:docPr id="150148079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480795"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20000" cy="1512000"/>
                  </a:xfrm>
                  <a:prstGeom prst="rect">
                    <a:avLst/>
                  </a:prstGeom>
                </pic:spPr>
              </pic:pic>
            </a:graphicData>
          </a:graphic>
          <wp14:sizeRelH relativeFrom="margin">
            <wp14:pctWidth>0</wp14:pctWidth>
          </wp14:sizeRelH>
          <wp14:sizeRelV relativeFrom="margin">
            <wp14:pctHeight>0</wp14:pctHeight>
          </wp14:sizeRelV>
        </wp:anchor>
      </w:drawing>
    </w:r>
  </w:p>
  <w:p w14:paraId="27756D0B" w14:textId="77777777" w:rsidR="00F308AD" w:rsidRDefault="00F308AD">
    <w:pPr>
      <w:pStyle w:val="Header"/>
    </w:pPr>
  </w:p>
  <w:p w14:paraId="5EE51683" w14:textId="77777777" w:rsidR="00F308AD" w:rsidRDefault="00F308AD">
    <w:pPr>
      <w:pStyle w:val="Header"/>
    </w:pPr>
  </w:p>
  <w:p w14:paraId="159D7F6D" w14:textId="77777777" w:rsidR="00F308AD" w:rsidRDefault="00F308AD">
    <w:pPr>
      <w:pStyle w:val="Header"/>
    </w:pPr>
  </w:p>
  <w:p w14:paraId="68C30105" w14:textId="77777777" w:rsidR="00F308AD" w:rsidRDefault="00F30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0C57" w14:textId="77777777" w:rsidR="009A25D1" w:rsidRDefault="009A25D1" w:rsidP="009A25D1">
    <w:pPr>
      <w:pStyle w:val="Header"/>
    </w:pPr>
    <w:r>
      <w:rPr>
        <w:noProof/>
      </w:rPr>
      <w:drawing>
        <wp:anchor distT="0" distB="0" distL="114300" distR="114300" simplePos="0" relativeHeight="251666432" behindDoc="1" locked="0" layoutInCell="1" allowOverlap="1" wp14:anchorId="109DA629" wp14:editId="0AFC2BC5">
          <wp:simplePos x="0" y="0"/>
          <wp:positionH relativeFrom="column">
            <wp:posOffset>-923925</wp:posOffset>
          </wp:positionH>
          <wp:positionV relativeFrom="paragraph">
            <wp:posOffset>-456123</wp:posOffset>
          </wp:positionV>
          <wp:extent cx="15120000" cy="1512000"/>
          <wp:effectExtent l="0" t="0" r="5715"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480795"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20000" cy="1512000"/>
                  </a:xfrm>
                  <a:prstGeom prst="rect">
                    <a:avLst/>
                  </a:prstGeom>
                </pic:spPr>
              </pic:pic>
            </a:graphicData>
          </a:graphic>
          <wp14:sizeRelH relativeFrom="margin">
            <wp14:pctWidth>0</wp14:pctWidth>
          </wp14:sizeRelH>
          <wp14:sizeRelV relativeFrom="margin">
            <wp14:pctHeight>0</wp14:pctHeight>
          </wp14:sizeRelV>
        </wp:anchor>
      </w:drawing>
    </w:r>
  </w:p>
  <w:p w14:paraId="02B3448B" w14:textId="77777777" w:rsidR="009A25D1" w:rsidRDefault="009A25D1" w:rsidP="009A25D1">
    <w:pPr>
      <w:pStyle w:val="Header"/>
    </w:pPr>
  </w:p>
  <w:p w14:paraId="3259414B" w14:textId="77777777" w:rsidR="009A25D1" w:rsidRDefault="009A25D1" w:rsidP="009A25D1">
    <w:pPr>
      <w:pStyle w:val="Header"/>
    </w:pPr>
  </w:p>
  <w:p w14:paraId="252AA7F3" w14:textId="77777777" w:rsidR="009A25D1" w:rsidRDefault="009A25D1" w:rsidP="009A25D1">
    <w:pPr>
      <w:pStyle w:val="Header"/>
    </w:pPr>
  </w:p>
  <w:p w14:paraId="54516D2F" w14:textId="5BBC69BB" w:rsidR="009A25D1" w:rsidRPr="009A25D1" w:rsidRDefault="009A25D1" w:rsidP="009A2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A68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FACB6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A912F1"/>
    <w:multiLevelType w:val="hybridMultilevel"/>
    <w:tmpl w:val="A30696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E877EE"/>
    <w:multiLevelType w:val="hybridMultilevel"/>
    <w:tmpl w:val="AE160294"/>
    <w:lvl w:ilvl="0" w:tplc="0C090001">
      <w:start w:val="1"/>
      <w:numFmt w:val="bullet"/>
      <w:lvlText w:val=""/>
      <w:lvlJc w:val="left"/>
      <w:pPr>
        <w:ind w:left="847" w:hanging="360"/>
      </w:pPr>
      <w:rPr>
        <w:rFonts w:ascii="Symbol" w:hAnsi="Symbol" w:hint="default"/>
      </w:rPr>
    </w:lvl>
    <w:lvl w:ilvl="1" w:tplc="0C090003">
      <w:start w:val="1"/>
      <w:numFmt w:val="bullet"/>
      <w:lvlText w:val="o"/>
      <w:lvlJc w:val="left"/>
      <w:pPr>
        <w:ind w:left="1567" w:hanging="360"/>
      </w:pPr>
      <w:rPr>
        <w:rFonts w:ascii="Courier New" w:hAnsi="Courier New" w:cs="Courier New"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4" w15:restartNumberingAfterBreak="0">
    <w:nsid w:val="22E145A7"/>
    <w:multiLevelType w:val="hybridMultilevel"/>
    <w:tmpl w:val="D210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0C03F7"/>
    <w:multiLevelType w:val="hybridMultilevel"/>
    <w:tmpl w:val="BA02538E"/>
    <w:lvl w:ilvl="0" w:tplc="C63EAF2E">
      <w:start w:val="1"/>
      <w:numFmt w:val="decimal"/>
      <w:pStyle w:val="TableList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F686966"/>
    <w:multiLevelType w:val="hybridMultilevel"/>
    <w:tmpl w:val="9920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46F06"/>
    <w:multiLevelType w:val="hybridMultilevel"/>
    <w:tmpl w:val="4B16ECBE"/>
    <w:lvl w:ilvl="0" w:tplc="C40817E8">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04345BB"/>
    <w:multiLevelType w:val="hybridMultilevel"/>
    <w:tmpl w:val="E652967C"/>
    <w:lvl w:ilvl="0" w:tplc="010EF8B2">
      <w:start w:val="1"/>
      <w:numFmt w:val="bullet"/>
      <w:pStyle w:val="Tablebullet0"/>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B848F0"/>
    <w:multiLevelType w:val="hybridMultilevel"/>
    <w:tmpl w:val="B1F0E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9271691">
    <w:abstractNumId w:val="1"/>
  </w:num>
  <w:num w:numId="2" w16cid:durableId="16204877">
    <w:abstractNumId w:val="0"/>
  </w:num>
  <w:num w:numId="3" w16cid:durableId="1761483960">
    <w:abstractNumId w:val="7"/>
  </w:num>
  <w:num w:numId="4" w16cid:durableId="1670670406">
    <w:abstractNumId w:val="5"/>
  </w:num>
  <w:num w:numId="5" w16cid:durableId="1464228468">
    <w:abstractNumId w:val="5"/>
    <w:lvlOverride w:ilvl="0">
      <w:startOverride w:val="1"/>
    </w:lvlOverride>
  </w:num>
  <w:num w:numId="6" w16cid:durableId="759526342">
    <w:abstractNumId w:val="8"/>
  </w:num>
  <w:num w:numId="7" w16cid:durableId="606424136">
    <w:abstractNumId w:val="2"/>
  </w:num>
  <w:num w:numId="8" w16cid:durableId="665746859">
    <w:abstractNumId w:val="4"/>
  </w:num>
  <w:num w:numId="9" w16cid:durableId="1586265473">
    <w:abstractNumId w:val="9"/>
  </w:num>
  <w:num w:numId="10" w16cid:durableId="1811509473">
    <w:abstractNumId w:val="3"/>
  </w:num>
  <w:num w:numId="11" w16cid:durableId="993803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AD"/>
    <w:rsid w:val="00003861"/>
    <w:rsid w:val="0008170D"/>
    <w:rsid w:val="000D5558"/>
    <w:rsid w:val="000F6996"/>
    <w:rsid w:val="00151A27"/>
    <w:rsid w:val="0017098F"/>
    <w:rsid w:val="001C5914"/>
    <w:rsid w:val="001D281B"/>
    <w:rsid w:val="00250CEC"/>
    <w:rsid w:val="002F5085"/>
    <w:rsid w:val="003C11E1"/>
    <w:rsid w:val="003E5A53"/>
    <w:rsid w:val="003F3DDD"/>
    <w:rsid w:val="00581EB1"/>
    <w:rsid w:val="00591798"/>
    <w:rsid w:val="005A4310"/>
    <w:rsid w:val="006A281C"/>
    <w:rsid w:val="006B4BCB"/>
    <w:rsid w:val="007261DD"/>
    <w:rsid w:val="007963A8"/>
    <w:rsid w:val="007B05BC"/>
    <w:rsid w:val="007C4E36"/>
    <w:rsid w:val="00840407"/>
    <w:rsid w:val="008649CE"/>
    <w:rsid w:val="00886515"/>
    <w:rsid w:val="00915E8E"/>
    <w:rsid w:val="00922D35"/>
    <w:rsid w:val="009A25D1"/>
    <w:rsid w:val="009F67D3"/>
    <w:rsid w:val="00A04DF4"/>
    <w:rsid w:val="00A331B3"/>
    <w:rsid w:val="00A94881"/>
    <w:rsid w:val="00B072B0"/>
    <w:rsid w:val="00B23C15"/>
    <w:rsid w:val="00B814C9"/>
    <w:rsid w:val="00B9274C"/>
    <w:rsid w:val="00C34ACC"/>
    <w:rsid w:val="00CD2BC7"/>
    <w:rsid w:val="00E46982"/>
    <w:rsid w:val="00E95E8A"/>
    <w:rsid w:val="00E9719F"/>
    <w:rsid w:val="00EE3BAF"/>
    <w:rsid w:val="00F308AD"/>
    <w:rsid w:val="00F51667"/>
    <w:rsid w:val="00F748C6"/>
    <w:rsid w:val="00FA0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86C88"/>
  <w15:chartTrackingRefBased/>
  <w15:docId w15:val="{2F7E3478-6CCD-B54B-86F2-F1ACACC8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D1"/>
    <w:pPr>
      <w:spacing w:after="120"/>
    </w:pPr>
    <w:rPr>
      <w:rFonts w:ascii="Arial" w:eastAsiaTheme="minorEastAsia" w:hAnsi="Arial" w:cs="Arial"/>
      <w:sz w:val="22"/>
      <w:szCs w:val="22"/>
    </w:rPr>
  </w:style>
  <w:style w:type="paragraph" w:styleId="Heading1">
    <w:name w:val="heading 1"/>
    <w:basedOn w:val="Normal"/>
    <w:next w:val="Normal"/>
    <w:link w:val="Heading1Char"/>
    <w:qFormat/>
    <w:rsid w:val="009A25D1"/>
    <w:pPr>
      <w:keepNext/>
      <w:spacing w:before="240" w:after="240"/>
      <w:outlineLvl w:val="0"/>
    </w:pPr>
    <w:rPr>
      <w:rFonts w:eastAsia="Times New Roman"/>
      <w:b/>
      <w:bCs/>
      <w:color w:val="853D96"/>
      <w:kern w:val="32"/>
      <w:sz w:val="48"/>
      <w:szCs w:val="32"/>
      <w:lang w:eastAsia="en-AU"/>
    </w:rPr>
  </w:style>
  <w:style w:type="paragraph" w:styleId="Heading2">
    <w:name w:val="heading 2"/>
    <w:basedOn w:val="Normal"/>
    <w:next w:val="Normal"/>
    <w:link w:val="Heading2Char"/>
    <w:qFormat/>
    <w:rsid w:val="009A25D1"/>
    <w:pPr>
      <w:keepNext/>
      <w:spacing w:before="240" w:after="240"/>
      <w:outlineLvl w:val="1"/>
    </w:pPr>
    <w:rPr>
      <w:rFonts w:eastAsia="Times New Roman"/>
      <w:b/>
      <w:bCs/>
      <w:iCs/>
      <w:color w:val="225E6A"/>
      <w:sz w:val="32"/>
      <w:szCs w:val="32"/>
      <w:lang w:eastAsia="en-AU"/>
    </w:rPr>
  </w:style>
  <w:style w:type="paragraph" w:styleId="Heading3">
    <w:name w:val="heading 3"/>
    <w:basedOn w:val="Normal"/>
    <w:next w:val="Normal"/>
    <w:link w:val="Heading3Char"/>
    <w:qFormat/>
    <w:rsid w:val="009A25D1"/>
    <w:pPr>
      <w:keepNext/>
      <w:spacing w:before="120"/>
      <w:outlineLvl w:val="2"/>
    </w:pPr>
    <w:rPr>
      <w:rFonts w:eastAsia="Times New Roman"/>
      <w:b/>
      <w:bCs/>
      <w:sz w:val="28"/>
      <w:szCs w:val="32"/>
      <w:lang w:eastAsia="en-AU"/>
    </w:rPr>
  </w:style>
  <w:style w:type="paragraph" w:styleId="Heading4">
    <w:name w:val="heading 4"/>
    <w:basedOn w:val="Normal"/>
    <w:next w:val="Normal"/>
    <w:link w:val="Heading4Char"/>
    <w:unhideWhenUsed/>
    <w:qFormat/>
    <w:rsid w:val="009A25D1"/>
    <w:pPr>
      <w:spacing w:before="120"/>
      <w:outlineLvl w:val="3"/>
    </w:pPr>
    <w:rPr>
      <w:rFonts w:eastAsia="Times New Roman" w:cs="Times New Roman"/>
      <w:color w:val="225E6A"/>
      <w:sz w:val="24"/>
      <w:szCs w:val="32"/>
      <w:lang w:eastAsia="en-AU"/>
    </w:rPr>
  </w:style>
  <w:style w:type="paragraph" w:styleId="Heading5">
    <w:name w:val="heading 5"/>
    <w:basedOn w:val="Normal"/>
    <w:next w:val="Normal"/>
    <w:link w:val="Heading5Char"/>
    <w:unhideWhenUsed/>
    <w:qFormat/>
    <w:rsid w:val="009A25D1"/>
    <w:pPr>
      <w:spacing w:before="120"/>
      <w:outlineLvl w:val="4"/>
    </w:pPr>
    <w:rPr>
      <w:rFonts w:eastAsia="Times New Roman" w:cs="Times New Roman"/>
      <w:b/>
      <w:bCs/>
      <w:color w:val="853D9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D1"/>
    <w:pPr>
      <w:tabs>
        <w:tab w:val="center" w:pos="4680"/>
        <w:tab w:val="right" w:pos="9360"/>
      </w:tabs>
    </w:pPr>
    <w:rPr>
      <w:sz w:val="20"/>
    </w:rPr>
  </w:style>
  <w:style w:type="character" w:customStyle="1" w:styleId="HeaderChar">
    <w:name w:val="Header Char"/>
    <w:basedOn w:val="DefaultParagraphFont"/>
    <w:link w:val="Header"/>
    <w:uiPriority w:val="99"/>
    <w:rsid w:val="009A25D1"/>
    <w:rPr>
      <w:rFonts w:ascii="Arial" w:eastAsiaTheme="minorEastAsia" w:hAnsi="Arial"/>
      <w:sz w:val="20"/>
    </w:rPr>
  </w:style>
  <w:style w:type="paragraph" w:styleId="Footer">
    <w:name w:val="footer"/>
    <w:basedOn w:val="Normal"/>
    <w:link w:val="FooterChar"/>
    <w:uiPriority w:val="99"/>
    <w:unhideWhenUsed/>
    <w:rsid w:val="009A25D1"/>
    <w:pPr>
      <w:tabs>
        <w:tab w:val="center" w:pos="4680"/>
        <w:tab w:val="right" w:pos="9360"/>
      </w:tabs>
    </w:pPr>
    <w:rPr>
      <w:sz w:val="20"/>
    </w:rPr>
  </w:style>
  <w:style w:type="character" w:customStyle="1" w:styleId="FooterChar">
    <w:name w:val="Footer Char"/>
    <w:basedOn w:val="DefaultParagraphFont"/>
    <w:link w:val="Footer"/>
    <w:uiPriority w:val="99"/>
    <w:rsid w:val="009A25D1"/>
    <w:rPr>
      <w:rFonts w:ascii="Arial" w:eastAsiaTheme="minorEastAsia" w:hAnsi="Arial"/>
      <w:sz w:val="20"/>
    </w:rPr>
  </w:style>
  <w:style w:type="character" w:customStyle="1" w:styleId="Heading1Char">
    <w:name w:val="Heading 1 Char"/>
    <w:basedOn w:val="DefaultParagraphFont"/>
    <w:link w:val="Heading1"/>
    <w:rsid w:val="009A25D1"/>
    <w:rPr>
      <w:rFonts w:ascii="Arial" w:eastAsia="Times New Roman" w:hAnsi="Arial" w:cs="Arial"/>
      <w:b/>
      <w:bCs/>
      <w:color w:val="853D96"/>
      <w:kern w:val="32"/>
      <w:sz w:val="48"/>
      <w:szCs w:val="32"/>
      <w:lang w:eastAsia="en-AU"/>
    </w:rPr>
  </w:style>
  <w:style w:type="character" w:customStyle="1" w:styleId="Heading2Char">
    <w:name w:val="Heading 2 Char"/>
    <w:basedOn w:val="DefaultParagraphFont"/>
    <w:link w:val="Heading2"/>
    <w:rsid w:val="009A25D1"/>
    <w:rPr>
      <w:rFonts w:ascii="Arial" w:eastAsia="Times New Roman" w:hAnsi="Arial" w:cs="Arial"/>
      <w:b/>
      <w:bCs/>
      <w:iCs/>
      <w:color w:val="225E6A"/>
      <w:sz w:val="32"/>
      <w:szCs w:val="32"/>
      <w:lang w:eastAsia="en-AU"/>
    </w:rPr>
  </w:style>
  <w:style w:type="character" w:customStyle="1" w:styleId="Heading3Char">
    <w:name w:val="Heading 3 Char"/>
    <w:basedOn w:val="DefaultParagraphFont"/>
    <w:link w:val="Heading3"/>
    <w:rsid w:val="009A25D1"/>
    <w:rPr>
      <w:rFonts w:ascii="Arial" w:eastAsia="Times New Roman" w:hAnsi="Arial" w:cs="Arial"/>
      <w:b/>
      <w:bCs/>
      <w:sz w:val="28"/>
      <w:szCs w:val="32"/>
      <w:lang w:eastAsia="en-AU"/>
    </w:rPr>
  </w:style>
  <w:style w:type="character" w:customStyle="1" w:styleId="Heading4Char">
    <w:name w:val="Heading 4 Char"/>
    <w:basedOn w:val="DefaultParagraphFont"/>
    <w:link w:val="Heading4"/>
    <w:rsid w:val="009A25D1"/>
    <w:rPr>
      <w:rFonts w:ascii="Arial" w:eastAsia="Times New Roman" w:hAnsi="Arial" w:cs="Times New Roman"/>
      <w:color w:val="225E6A"/>
      <w:szCs w:val="32"/>
      <w:lang w:eastAsia="en-AU"/>
    </w:rPr>
  </w:style>
  <w:style w:type="character" w:customStyle="1" w:styleId="Heading5Char">
    <w:name w:val="Heading 5 Char"/>
    <w:basedOn w:val="DefaultParagraphFont"/>
    <w:link w:val="Heading5"/>
    <w:rsid w:val="009A25D1"/>
    <w:rPr>
      <w:rFonts w:ascii="Arial" w:eastAsia="Times New Roman" w:hAnsi="Arial" w:cs="Times New Roman"/>
      <w:b/>
      <w:bCs/>
      <w:color w:val="853D96"/>
      <w:sz w:val="22"/>
      <w:szCs w:val="22"/>
      <w:lang w:eastAsia="en-AU"/>
    </w:rPr>
  </w:style>
  <w:style w:type="paragraph" w:styleId="ListBullet">
    <w:name w:val="List Bullet"/>
    <w:basedOn w:val="Normal"/>
    <w:rsid w:val="009A25D1"/>
    <w:pPr>
      <w:numPr>
        <w:numId w:val="1"/>
      </w:numPr>
      <w:tabs>
        <w:tab w:val="clear" w:pos="360"/>
        <w:tab w:val="num" w:pos="284"/>
      </w:tabs>
      <w:spacing w:before="60" w:after="60"/>
      <w:ind w:left="284" w:hanging="284"/>
    </w:pPr>
    <w:rPr>
      <w:rFonts w:eastAsia="Times New Roman" w:cs="Times New Roman"/>
      <w:lang w:eastAsia="en-AU"/>
    </w:rPr>
  </w:style>
  <w:style w:type="paragraph" w:styleId="ListNumber">
    <w:name w:val="List Number"/>
    <w:basedOn w:val="Normal"/>
    <w:rsid w:val="009A25D1"/>
    <w:pPr>
      <w:numPr>
        <w:numId w:val="2"/>
      </w:numPr>
      <w:spacing w:before="60" w:after="60"/>
      <w:ind w:left="357" w:hanging="357"/>
    </w:pPr>
    <w:rPr>
      <w:rFonts w:eastAsia="Times New Roman" w:cs="Times New Roman"/>
      <w:lang w:eastAsia="en-AU"/>
    </w:rPr>
  </w:style>
  <w:style w:type="table" w:styleId="GridTable4-Accent1">
    <w:name w:val="Grid Table 4 Accent 1"/>
    <w:basedOn w:val="TableNormal"/>
    <w:uiPriority w:val="49"/>
    <w:rsid w:val="003F3DDD"/>
    <w:rPr>
      <w:rFonts w:ascii="Arial" w:eastAsiaTheme="minorEastAsia" w:hAnsi="Arial"/>
      <w:sz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extLeft">
    <w:name w:val="Table Text Left"/>
    <w:basedOn w:val="Normal"/>
    <w:link w:val="TableTextLeftCharChar"/>
    <w:rsid w:val="003F3DDD"/>
    <w:pPr>
      <w:spacing w:before="60" w:after="40"/>
    </w:pPr>
    <w:rPr>
      <w:rFonts w:eastAsia="MS Mincho" w:cs="Times New Roman"/>
      <w:sz w:val="20"/>
      <w:szCs w:val="24"/>
    </w:rPr>
  </w:style>
  <w:style w:type="character" w:customStyle="1" w:styleId="TableTextLeftCharChar">
    <w:name w:val="Table Text Left Char Char"/>
    <w:basedOn w:val="DefaultParagraphFont"/>
    <w:link w:val="TableTextLeft"/>
    <w:rsid w:val="003F3DDD"/>
    <w:rPr>
      <w:rFonts w:ascii="Arial" w:eastAsia="MS Mincho" w:hAnsi="Arial" w:cs="Times New Roman"/>
      <w:sz w:val="20"/>
    </w:rPr>
  </w:style>
  <w:style w:type="paragraph" w:customStyle="1" w:styleId="TableHeadingLeft">
    <w:name w:val="Table Heading Left"/>
    <w:basedOn w:val="TableTextLeft"/>
    <w:rsid w:val="003F3DDD"/>
  </w:style>
  <w:style w:type="paragraph" w:customStyle="1" w:styleId="TableHeadingLeft-White">
    <w:name w:val="Table Heading Left - White"/>
    <w:basedOn w:val="Normal"/>
    <w:rsid w:val="003F3DDD"/>
    <w:pPr>
      <w:spacing w:before="60" w:after="40"/>
    </w:pPr>
    <w:rPr>
      <w:rFonts w:eastAsia="MS Mincho" w:cs="Times New Roman"/>
      <w:b/>
      <w:bCs/>
      <w:color w:val="FFFFFF"/>
      <w:sz w:val="20"/>
      <w:szCs w:val="24"/>
      <w:lang w:val="en-NZ"/>
    </w:rPr>
  </w:style>
  <w:style w:type="paragraph" w:customStyle="1" w:styleId="TableBullet">
    <w:name w:val="Table Bullet"/>
    <w:basedOn w:val="TableTextLeft"/>
    <w:rsid w:val="003F3DDD"/>
    <w:pPr>
      <w:numPr>
        <w:numId w:val="3"/>
      </w:numPr>
      <w:tabs>
        <w:tab w:val="num" w:pos="360"/>
      </w:tabs>
      <w:spacing w:before="40"/>
      <w:ind w:left="227" w:hanging="227"/>
      <w:contextualSpacing/>
    </w:pPr>
    <w:rPr>
      <w:bCs/>
    </w:rPr>
  </w:style>
  <w:style w:type="paragraph" w:customStyle="1" w:styleId="TableListNumber">
    <w:name w:val="Table List Number"/>
    <w:basedOn w:val="TableTextLeft"/>
    <w:rsid w:val="003F3DDD"/>
    <w:pPr>
      <w:numPr>
        <w:numId w:val="4"/>
      </w:numPr>
      <w:tabs>
        <w:tab w:val="num" w:pos="360"/>
      </w:tabs>
      <w:spacing w:before="40"/>
      <w:ind w:left="227" w:hanging="227"/>
    </w:pPr>
  </w:style>
  <w:style w:type="paragraph" w:customStyle="1" w:styleId="Tableheader">
    <w:name w:val="Table header"/>
    <w:qFormat/>
    <w:rsid w:val="003F3DDD"/>
    <w:pPr>
      <w:shd w:val="clear" w:color="auto" w:fill="595959" w:themeFill="text1" w:themeFillTint="A6"/>
      <w:ind w:left="142"/>
    </w:pPr>
    <w:rPr>
      <w:rFonts w:ascii="Arial" w:eastAsia="Times New Roman" w:hAnsi="Arial" w:cs="Arial"/>
      <w:color w:val="FFFFFF"/>
      <w:sz w:val="21"/>
      <w:szCs w:val="21"/>
      <w:lang w:val="en-US" w:eastAsia="en-AU"/>
    </w:rPr>
  </w:style>
  <w:style w:type="paragraph" w:customStyle="1" w:styleId="Tabletext">
    <w:name w:val="Table text"/>
    <w:qFormat/>
    <w:rsid w:val="003F3DDD"/>
    <w:pPr>
      <w:spacing w:before="40" w:after="40"/>
      <w:ind w:left="142"/>
    </w:pPr>
    <w:rPr>
      <w:rFonts w:ascii="Arial" w:eastAsia="Times New Roman" w:hAnsi="Arial" w:cs="Arial"/>
      <w:sz w:val="19"/>
      <w:szCs w:val="19"/>
      <w:lang w:val="en-US" w:eastAsia="en-AU"/>
    </w:rPr>
  </w:style>
  <w:style w:type="paragraph" w:customStyle="1" w:styleId="Tablebullet0">
    <w:name w:val="Table bullet"/>
    <w:qFormat/>
    <w:rsid w:val="003F3DDD"/>
    <w:pPr>
      <w:numPr>
        <w:numId w:val="6"/>
      </w:numPr>
      <w:spacing w:before="40" w:after="40"/>
    </w:pPr>
    <w:rPr>
      <w:rFonts w:ascii="Arial" w:eastAsia="Times New Roman" w:hAnsi="Arial" w:cs="Arial"/>
      <w:sz w:val="19"/>
      <w:szCs w:val="19"/>
      <w:lang w:val="en-US" w:eastAsia="en-AU"/>
    </w:rPr>
  </w:style>
  <w:style w:type="paragraph" w:styleId="Caption">
    <w:name w:val="caption"/>
    <w:basedOn w:val="Normal"/>
    <w:next w:val="Normal"/>
    <w:uiPriority w:val="35"/>
    <w:semiHidden/>
    <w:unhideWhenUsed/>
    <w:qFormat/>
    <w:rsid w:val="003F3DDD"/>
    <w:pPr>
      <w:spacing w:after="200"/>
    </w:pPr>
    <w:rPr>
      <w:rFonts w:asciiTheme="minorHAnsi" w:eastAsiaTheme="minorHAnsi" w:hAnsiTheme="minorHAnsi" w:cstheme="minorBidi"/>
      <w:i/>
      <w:iCs/>
      <w:color w:val="44546A" w:themeColor="text2"/>
      <w:sz w:val="18"/>
      <w:szCs w:val="18"/>
    </w:rPr>
  </w:style>
  <w:style w:type="table" w:styleId="TableGrid">
    <w:name w:val="Table Grid"/>
    <w:basedOn w:val="TableNormal"/>
    <w:uiPriority w:val="39"/>
    <w:rsid w:val="00E9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E8A"/>
    <w:pPr>
      <w:spacing w:after="0"/>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E95E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ttps://www.dcssds.qld.gov.au/about-us/our-department/corporate-publications/strategic-plan" TargetMode="External" Type="http://schemas.openxmlformats.org/officeDocument/2006/relationships/hyperlink"/>
<Relationship Id="rId12" Target="https://www.dcssds.qld.gov.au/about-us/our-department/corporate-publications/disability-service-plan" TargetMode="External" Type="http://schemas.openxmlformats.org/officeDocument/2006/relationships/hyperlink"/>
<Relationship Id="rId13" Target="https://www.dcssds.qld.gov.au/about-us/our-department/corporate-publications/aboriginal-torres-strait-islander-cultural-capability-action-plan" TargetMode="External" Type="http://schemas.openxmlformats.org/officeDocument/2006/relationships/hyperlink"/>
<Relationship Id="rId14" Target="https://www.forgov.qld.gov.au/__data/assets/pdf_file/0022/184144/queensland-public-sector-inclusion-and-diversity-strategy-2021-2025.pdf" TargetMode="External" Type="http://schemas.openxmlformats.org/officeDocument/2006/relationships/hyperlink"/>
<Relationship Id="rId15" Target="https://aus01.safelinks.protection.outlook.com/?url=https%3A%2F%2Fwww.forgov.qld.gov.au%2F__data%2Fassets%2Fpdf_file%2F0026%2F413666%2FQueensland-public-sector-LGBTIQ-Action-plan-2023-2025.pdf&amp;data=05%7C01%7Cnicole.randall%40dsdsatsip.qld.gov.au%7C6c81a66c1f214b4ebfee08dba8ef25b8%7C95b907c2752b485088ad86939ce522f0%7C0%7C0%7C638289517483414561%7CUnknown%7CTWFpbGZsb3d8eyJWIjoiMC4wLjAwMDAiLCJQIjoiV2luMzIiLCJBTiI6Ik1haWwiLCJXVCI6Mn0%3D%7C3000%7C%7C%7C&amp;sdata=AcQgXkHBAZ8jPRdL9qFFweZlfsMmsaw8w6HC1mRnAS8%3D&amp;reserved=0" TargetMode="External" Type="http://schemas.openxmlformats.org/officeDocument/2006/relationships/hyperlink"/>
<Relationship Id="rId16" Target="https://www.des.qld.gov.au/multicultural-affairs/policy-governance/policy-plan" TargetMode="External" Type="http://schemas.openxmlformats.org/officeDocument/2006/relationships/hyperlink"/>
<Relationship Id="rId17" Target="https://www.justice.qld.gov.au/about-us/services/women-violence-prevention/women/queensland-womens-strategy/about" TargetMode="External" Type="http://schemas.openxmlformats.org/officeDocument/2006/relationships/hyperlink"/>
<Relationship Id="rId18" Target="fontTable.xml" Type="http://schemas.openxmlformats.org/officeDocument/2006/relationships/fontTable"/>
<Relationship Id="rId19"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footer2.xml.rels><?xml version="1.0" encoding="UTF-8" standalone="yes"?>
<Relationships xmlns="http://schemas.openxmlformats.org/package/2006/relationships">
<Relationship Id="rId1" Target="media/image2.jpeg" Type="http://schemas.openxmlformats.org/officeDocument/2006/relationships/image"/>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1553</Words>
  <Characters>8857</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CSSDS Equity and Diversity Plan 2023–24</vt:lpstr>
      <vt:lpstr>Equity and Inclusion Plan 2023–24</vt:lpstr>
      <vt:lpstr>    How we’ll get there</vt:lpstr>
      <vt:lpstr>    Background</vt:lpstr>
      <vt:lpstr>    How we will measure success</vt:lpstr>
      <vt:lpstr>    Links to other plans and strategies:</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2023-09-07T06:21:00Z</dcterms:created>
  <dc:creator>Queensland Government</dc:creator>
  <cp:keywords>inclusion; equity; access; disability; CALD; neurodiversity; LGBTIQ; SOGIE; Aboriginal; Torres Strait Islander; leadership; gender</cp:keywords>
  <cp:lastModifiedBy>Emma Kloda</cp:lastModifiedBy>
  <dcterms:modified xsi:type="dcterms:W3CDTF">2023-09-28T06:11:00Z</dcterms:modified>
  <cp:revision>11</cp:revision>
  <dc:subject>Corporate template</dc:subject>
  <dc:title>CSSDS Equity and Diversity Plan 2023?24</dc:title>
</cp:coreProperties>
</file>