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28F0E" w14:textId="41968AFD" w:rsidR="00783ACA" w:rsidRPr="004E5D48" w:rsidRDefault="00783ACA" w:rsidP="004E5D48">
      <w:pPr>
        <w:pStyle w:val="Title"/>
        <w:rPr>
          <w:color w:val="B90748"/>
        </w:rPr>
      </w:pPr>
      <w:bookmarkStart w:id="0" w:name="_Toc81316792"/>
      <w:r w:rsidRPr="004E5D48">
        <w:rPr>
          <w:color w:val="B90748"/>
        </w:rPr>
        <w:t xml:space="preserve">Queensland Government response to the Queensland Productivity Commission’s Inquiry into the NDIS </w:t>
      </w:r>
      <w:bookmarkStart w:id="1" w:name="_GoBack"/>
      <w:bookmarkEnd w:id="1"/>
      <w:r w:rsidRPr="004E5D48">
        <w:rPr>
          <w:color w:val="B90748"/>
        </w:rPr>
        <w:t xml:space="preserve">market in Queensland </w:t>
      </w:r>
    </w:p>
    <w:p w14:paraId="19A6F2F7" w14:textId="77777777" w:rsidR="00783ACA" w:rsidRPr="004E5D48" w:rsidRDefault="00783ACA" w:rsidP="004E5D48">
      <w:pPr>
        <w:pStyle w:val="Title"/>
        <w:rPr>
          <w:b w:val="0"/>
          <w:bCs w:val="0"/>
          <w:color w:val="B90748"/>
        </w:rPr>
      </w:pPr>
      <w:r w:rsidRPr="004E5D48">
        <w:rPr>
          <w:b w:val="0"/>
          <w:bCs w:val="0"/>
          <w:color w:val="B90748"/>
        </w:rPr>
        <w:t>Summary report</w:t>
      </w:r>
    </w:p>
    <w:p w14:paraId="34C3B045" w14:textId="77777777" w:rsidR="00783ACA" w:rsidRPr="004E5D48" w:rsidRDefault="00783ACA" w:rsidP="004E5D48">
      <w:pPr>
        <w:pStyle w:val="Heading1"/>
        <w:ind w:left="432" w:hanging="432"/>
      </w:pPr>
      <w:r w:rsidRPr="004E5D48">
        <w:t>Introduction</w:t>
      </w:r>
    </w:p>
    <w:p w14:paraId="0556E687" w14:textId="77777777" w:rsidR="004E5D48" w:rsidRDefault="004E5D48" w:rsidP="004E5D48">
      <w:pPr>
        <w:spacing w:line="240" w:lineRule="auto"/>
        <w:rPr>
          <w:rFonts w:ascii="Arial" w:hAnsi="Arial" w:cs="Arial"/>
          <w:sz w:val="22"/>
          <w:szCs w:val="22"/>
        </w:rPr>
        <w:sectPr w:rsidR="004E5D48" w:rsidSect="00D93BF5">
          <w:headerReference w:type="default" r:id="rId11"/>
          <w:footerReference w:type="default" r:id="rId12"/>
          <w:headerReference w:type="first" r:id="rId13"/>
          <w:footerReference w:type="first" r:id="rId14"/>
          <w:pgSz w:w="11906" w:h="16838"/>
          <w:pgMar w:top="1440" w:right="1440" w:bottom="1440" w:left="1440" w:header="1440" w:footer="414" w:gutter="0"/>
          <w:cols w:space="708"/>
          <w:docGrid w:linePitch="360"/>
        </w:sectPr>
      </w:pPr>
    </w:p>
    <w:p w14:paraId="524E05EE" w14:textId="0CF74676" w:rsidR="00783ACA" w:rsidRPr="004E5D48" w:rsidRDefault="00783ACA" w:rsidP="004E5D48">
      <w:pPr>
        <w:spacing w:line="240" w:lineRule="auto"/>
        <w:rPr>
          <w:rFonts w:ascii="Arial" w:hAnsi="Arial" w:cs="Arial"/>
          <w:sz w:val="22"/>
          <w:szCs w:val="22"/>
        </w:rPr>
      </w:pPr>
      <w:r w:rsidRPr="004E5D48">
        <w:rPr>
          <w:rFonts w:ascii="Arial" w:hAnsi="Arial" w:cs="Arial"/>
          <w:sz w:val="22"/>
          <w:szCs w:val="22"/>
        </w:rPr>
        <w:t xml:space="preserve">The Queensland Government welcomes the release of the final report of the Queensland Productivity Commission’s (QPC) Inquiry into the NDIS market in Queensland (QPC Inquiry). It is a valuable resource that will help inform further work in market development and provide a strong evidence base for the Queensland Government to advocate for NDIS market reform through the national governance arrangements. </w:t>
      </w:r>
    </w:p>
    <w:p w14:paraId="16466483" w14:textId="77777777" w:rsidR="00783ACA" w:rsidRPr="004E5D48" w:rsidRDefault="00783ACA" w:rsidP="004E5D48">
      <w:pPr>
        <w:rPr>
          <w:rFonts w:ascii="Arial" w:hAnsi="Arial" w:cs="Arial"/>
          <w:sz w:val="22"/>
          <w:szCs w:val="22"/>
        </w:rPr>
      </w:pPr>
      <w:r w:rsidRPr="004E5D48">
        <w:rPr>
          <w:rFonts w:ascii="Arial" w:hAnsi="Arial" w:cs="Arial"/>
          <w:sz w:val="22"/>
          <w:szCs w:val="22"/>
        </w:rPr>
        <w:t xml:space="preserve">The QPC Inquiry examined the efficiency and effectiveness of the NDIS market; structural, regulatory or other impediments </w:t>
      </w:r>
      <w:r w:rsidRPr="004E5D48">
        <w:rPr>
          <w:rFonts w:ascii="Arial" w:hAnsi="Arial" w:cs="Arial"/>
          <w:sz w:val="22"/>
          <w:szCs w:val="22"/>
        </w:rPr>
        <w:t>to the efficient operation of the NDIS market; supply gaps affecting specific markets or market segments; and options for improved policies to ensure the NDIS market meets the needs of participants.</w:t>
      </w:r>
    </w:p>
    <w:p w14:paraId="258AC265" w14:textId="77777777" w:rsidR="00783ACA" w:rsidRPr="004E5D48" w:rsidRDefault="00783ACA" w:rsidP="004E5D48">
      <w:pPr>
        <w:spacing w:line="240" w:lineRule="auto"/>
        <w:rPr>
          <w:rFonts w:ascii="Arial" w:hAnsi="Arial" w:cs="Arial"/>
          <w:sz w:val="22"/>
          <w:szCs w:val="22"/>
        </w:rPr>
      </w:pPr>
      <w:r w:rsidRPr="004E5D48">
        <w:rPr>
          <w:rFonts w:ascii="Arial" w:hAnsi="Arial" w:cs="Arial"/>
          <w:sz w:val="22"/>
          <w:szCs w:val="22"/>
        </w:rPr>
        <w:t xml:space="preserve">Over the course of the inquiry, the QPC consulted with around 500 stakeholders through individual meetings, roundtables, regional visits and public hearings as well as receiving 70 written submissions. The Queensland Government thanks all who participated for their contribution. </w:t>
      </w:r>
    </w:p>
    <w:p w14:paraId="49E1899B" w14:textId="77777777" w:rsidR="004E5D48" w:rsidRDefault="004E5D48" w:rsidP="004E5D48">
      <w:pPr>
        <w:pStyle w:val="Heading1"/>
        <w:ind w:left="432" w:hanging="432"/>
        <w:sectPr w:rsidR="004E5D48" w:rsidSect="004E5D48">
          <w:type w:val="continuous"/>
          <w:pgSz w:w="11906" w:h="16838"/>
          <w:pgMar w:top="1440" w:right="1440" w:bottom="1440" w:left="1440" w:header="1440" w:footer="414" w:gutter="0"/>
          <w:cols w:num="2" w:space="708"/>
          <w:docGrid w:linePitch="360"/>
        </w:sectPr>
      </w:pPr>
    </w:p>
    <w:p w14:paraId="57505722" w14:textId="71D66B5B" w:rsidR="00783ACA" w:rsidRPr="004E5D48" w:rsidRDefault="00783ACA" w:rsidP="004E5D48">
      <w:pPr>
        <w:pStyle w:val="Heading1"/>
        <w:ind w:left="432" w:hanging="432"/>
      </w:pPr>
      <w:r w:rsidRPr="004E5D48">
        <w:t xml:space="preserve">Queensland’s commitment to the NDIS </w:t>
      </w:r>
    </w:p>
    <w:p w14:paraId="2504742A" w14:textId="77777777" w:rsidR="004E5D48" w:rsidRDefault="004E5D48" w:rsidP="00783ACA">
      <w:pPr>
        <w:spacing w:line="240" w:lineRule="auto"/>
        <w:rPr>
          <w:rFonts w:ascii="Arial" w:hAnsi="Arial" w:cs="Arial"/>
          <w:sz w:val="22"/>
          <w:szCs w:val="22"/>
        </w:rPr>
        <w:sectPr w:rsidR="004E5D48" w:rsidSect="004E5D48">
          <w:type w:val="continuous"/>
          <w:pgSz w:w="11906" w:h="16838"/>
          <w:pgMar w:top="1440" w:right="1440" w:bottom="1440" w:left="1440" w:header="1440" w:footer="414" w:gutter="0"/>
          <w:cols w:space="708"/>
          <w:docGrid w:linePitch="360"/>
        </w:sectPr>
      </w:pPr>
    </w:p>
    <w:p w14:paraId="402BA744" w14:textId="031057C9" w:rsidR="00783ACA" w:rsidRPr="004E5D48" w:rsidRDefault="00783ACA" w:rsidP="00783ACA">
      <w:pPr>
        <w:spacing w:line="240" w:lineRule="auto"/>
        <w:rPr>
          <w:rFonts w:ascii="Arial" w:hAnsi="Arial" w:cs="Arial"/>
          <w:sz w:val="22"/>
          <w:szCs w:val="22"/>
        </w:rPr>
      </w:pPr>
      <w:r w:rsidRPr="004E5D48">
        <w:rPr>
          <w:rFonts w:ascii="Arial" w:hAnsi="Arial" w:cs="Arial"/>
          <w:sz w:val="22"/>
          <w:szCs w:val="22"/>
        </w:rPr>
        <w:t>The findings and recommendations of the QPC Inquiry will assist the Queensland Government by providing evidence and strategic direction for engagement with NDIS governing partners and helping to ensure the national scheme is high performing and meets the needs of Queenslanders.</w:t>
      </w:r>
    </w:p>
    <w:p w14:paraId="56FAB3A4" w14:textId="77777777" w:rsidR="004E5D48" w:rsidRDefault="00783ACA" w:rsidP="00783ACA">
      <w:pPr>
        <w:spacing w:line="240" w:lineRule="auto"/>
        <w:rPr>
          <w:rFonts w:ascii="Arial" w:hAnsi="Arial" w:cs="Arial"/>
          <w:sz w:val="22"/>
          <w:szCs w:val="22"/>
        </w:rPr>
      </w:pPr>
      <w:r w:rsidRPr="004E5D48">
        <w:rPr>
          <w:rFonts w:ascii="Arial" w:hAnsi="Arial" w:cs="Arial"/>
          <w:sz w:val="22"/>
          <w:szCs w:val="22"/>
        </w:rPr>
        <w:t xml:space="preserve">The final report contains 20 findings and 56 recommendations. The Queensland Government has accepted 38 of these recommendations and accepted in-principle 16 recommendations where </w:t>
      </w:r>
      <w:r w:rsidRPr="004E5D48">
        <w:rPr>
          <w:rFonts w:ascii="Arial" w:hAnsi="Arial" w:cs="Arial"/>
          <w:sz w:val="22"/>
          <w:szCs w:val="22"/>
        </w:rPr>
        <w:t xml:space="preserve">further work is needed before implementation can commence. </w:t>
      </w:r>
    </w:p>
    <w:p w14:paraId="66F56C94" w14:textId="77777777" w:rsidR="004E5D48" w:rsidRDefault="004E5D48" w:rsidP="004E5D48">
      <w:pPr>
        <w:spacing w:line="240" w:lineRule="auto"/>
        <w:rPr>
          <w:rFonts w:ascii="Arial" w:hAnsi="Arial" w:cs="Arial"/>
          <w:sz w:val="22"/>
          <w:szCs w:val="22"/>
        </w:rPr>
      </w:pPr>
      <w:r w:rsidRPr="004E5D48">
        <w:rPr>
          <w:rFonts w:ascii="Arial" w:hAnsi="Arial" w:cs="Arial"/>
          <w:sz w:val="22"/>
          <w:szCs w:val="22"/>
        </w:rPr>
        <w:t xml:space="preserve">The Queensland Government partially accepts one recommendation and one recommendation is no longer applicable. Positions are summarised in this report, with more detail available in the full Queensland Government response. </w:t>
      </w:r>
    </w:p>
    <w:p w14:paraId="255DE9D6" w14:textId="45C85DCF" w:rsidR="004E5D48" w:rsidRPr="004E5D48" w:rsidRDefault="004E5D48" w:rsidP="004E5D48">
      <w:pPr>
        <w:spacing w:line="240" w:lineRule="auto"/>
        <w:rPr>
          <w:rFonts w:ascii="Arial" w:hAnsi="Arial" w:cs="Arial"/>
          <w:sz w:val="22"/>
          <w:szCs w:val="22"/>
        </w:rPr>
      </w:pPr>
      <w:r w:rsidRPr="004E5D48">
        <w:rPr>
          <w:rFonts w:ascii="Arial" w:hAnsi="Arial" w:cs="Arial"/>
          <w:sz w:val="22"/>
          <w:szCs w:val="22"/>
        </w:rPr>
        <w:t>Collectively, these recommendations will support Queensland’s work in contributing to reforms that improve scheme performance at the national level across seven key priority areas</w:t>
      </w:r>
      <w:r>
        <w:rPr>
          <w:rFonts w:ascii="Arial" w:hAnsi="Arial" w:cs="Arial"/>
          <w:sz w:val="22"/>
          <w:szCs w:val="22"/>
        </w:rPr>
        <w:t>.</w:t>
      </w:r>
    </w:p>
    <w:p w14:paraId="2E612FDD" w14:textId="77777777" w:rsidR="004E5D48" w:rsidRDefault="004E5D48" w:rsidP="004E5D48">
      <w:pPr>
        <w:rPr>
          <w:rFonts w:ascii="Arial" w:hAnsi="Arial" w:cs="Arial"/>
          <w:sz w:val="22"/>
          <w:szCs w:val="22"/>
        </w:rPr>
        <w:sectPr w:rsidR="004E5D48" w:rsidSect="004E5D48">
          <w:type w:val="continuous"/>
          <w:pgSz w:w="11906" w:h="16838"/>
          <w:pgMar w:top="1440" w:right="1440" w:bottom="1440" w:left="1440" w:header="1440" w:footer="414" w:gutter="0"/>
          <w:cols w:num="2" w:space="708"/>
          <w:docGrid w:linePitch="360"/>
        </w:sectPr>
      </w:pPr>
    </w:p>
    <w:p w14:paraId="129AAD0B" w14:textId="36E9474D" w:rsidR="004E5D48" w:rsidRDefault="004E5D48" w:rsidP="004E5D48">
      <w:pPr>
        <w:rPr>
          <w:rFonts w:ascii="Arial" w:hAnsi="Arial" w:cs="Arial"/>
          <w:sz w:val="22"/>
          <w:szCs w:val="22"/>
        </w:rPr>
      </w:pPr>
    </w:p>
    <w:p w14:paraId="56AD9B0D" w14:textId="42141A8D" w:rsidR="004E5D48" w:rsidRPr="004E5D48" w:rsidRDefault="004E5D48" w:rsidP="004E5D48">
      <w:pPr>
        <w:pStyle w:val="Heading1"/>
        <w:ind w:left="432" w:hanging="432"/>
      </w:pPr>
      <w:r w:rsidRPr="004E5D48">
        <w:lastRenderedPageBreak/>
        <w:t>Priority areas</w:t>
      </w:r>
    </w:p>
    <w:p w14:paraId="138A874D"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An equitable scheme—targeted outreach, access and planning processes that recognise diversity</w:t>
      </w:r>
    </w:p>
    <w:p w14:paraId="44754C1F"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Employment outcomes—shifting the dial on employment outcomes for people with disability</w:t>
      </w:r>
    </w:p>
    <w:p w14:paraId="62F60F1C" w14:textId="2B2B63EC"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Future workforce—a high</w:t>
      </w:r>
      <w:r w:rsidR="002B6C80">
        <w:rPr>
          <w:rFonts w:ascii="Arial" w:hAnsi="Arial" w:cs="Arial"/>
          <w:sz w:val="22"/>
          <w:szCs w:val="22"/>
        </w:rPr>
        <w:t>-</w:t>
      </w:r>
      <w:r w:rsidRPr="004E5D48">
        <w:rPr>
          <w:rFonts w:ascii="Arial" w:hAnsi="Arial" w:cs="Arial"/>
          <w:sz w:val="22"/>
          <w:szCs w:val="22"/>
        </w:rPr>
        <w:t>quality workforce that is resourced and skilled to deliver real change</w:t>
      </w:r>
    </w:p>
    <w:p w14:paraId="14AE9AD0"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 xml:space="preserve">Thin markets—targeted and timely intervention  </w:t>
      </w:r>
    </w:p>
    <w:p w14:paraId="0975D7C9"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Policy and regulatory environment—building provider confidence</w:t>
      </w:r>
    </w:p>
    <w:p w14:paraId="08E3F2AB"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 xml:space="preserve">A financially sustainable scheme—delivering longer-term net benefit </w:t>
      </w:r>
    </w:p>
    <w:p w14:paraId="2BE149E3" w14:textId="77777777" w:rsidR="00783ACA" w:rsidRPr="004E5D48" w:rsidRDefault="00783ACA" w:rsidP="00783ACA">
      <w:pPr>
        <w:pStyle w:val="ListParagraph"/>
        <w:numPr>
          <w:ilvl w:val="0"/>
          <w:numId w:val="28"/>
        </w:numPr>
        <w:spacing w:after="160" w:line="259" w:lineRule="auto"/>
        <w:rPr>
          <w:rFonts w:ascii="Arial" w:hAnsi="Arial" w:cs="Arial"/>
          <w:sz w:val="22"/>
          <w:szCs w:val="22"/>
        </w:rPr>
      </w:pPr>
      <w:r w:rsidRPr="004E5D48">
        <w:rPr>
          <w:rFonts w:ascii="Arial" w:hAnsi="Arial" w:cs="Arial"/>
          <w:sz w:val="22"/>
          <w:szCs w:val="22"/>
        </w:rPr>
        <w:t>Person-centred supports—improving the way the NDIS and Queensland’s social services work together</w:t>
      </w:r>
    </w:p>
    <w:p w14:paraId="37B158EB" w14:textId="77777777" w:rsidR="00783ACA" w:rsidRPr="004E5D48" w:rsidRDefault="00783ACA" w:rsidP="004E5D48">
      <w:pPr>
        <w:pStyle w:val="Heading1"/>
        <w:ind w:left="432" w:hanging="432"/>
      </w:pPr>
      <w:r w:rsidRPr="004E5D48">
        <w:t>Implementation</w:t>
      </w:r>
    </w:p>
    <w:p w14:paraId="364CFDAD" w14:textId="77777777" w:rsidR="004E5D48" w:rsidRDefault="004E5D48" w:rsidP="00783ACA">
      <w:pPr>
        <w:rPr>
          <w:rFonts w:ascii="Arial" w:hAnsi="Arial" w:cs="Arial"/>
          <w:sz w:val="22"/>
          <w:szCs w:val="22"/>
        </w:rPr>
        <w:sectPr w:rsidR="004E5D48" w:rsidSect="004E5D48">
          <w:type w:val="continuous"/>
          <w:pgSz w:w="11906" w:h="16838"/>
          <w:pgMar w:top="1440" w:right="1440" w:bottom="1440" w:left="1440" w:header="1440" w:footer="414" w:gutter="0"/>
          <w:cols w:space="708"/>
          <w:docGrid w:linePitch="360"/>
        </w:sectPr>
      </w:pPr>
    </w:p>
    <w:p w14:paraId="29ACFFFF" w14:textId="2E420881" w:rsidR="00783ACA" w:rsidRPr="004E5D48" w:rsidRDefault="00783ACA" w:rsidP="00783ACA">
      <w:pPr>
        <w:rPr>
          <w:rFonts w:ascii="Arial" w:hAnsi="Arial" w:cs="Arial"/>
          <w:sz w:val="22"/>
          <w:szCs w:val="22"/>
        </w:rPr>
      </w:pPr>
      <w:r w:rsidRPr="004E5D48">
        <w:rPr>
          <w:rFonts w:ascii="Arial" w:hAnsi="Arial" w:cs="Arial"/>
          <w:sz w:val="22"/>
          <w:szCs w:val="22"/>
        </w:rPr>
        <w:t xml:space="preserve">The Queensland Government is committed to collaboration and co-design with people with disability and the disability sector, including the Queensland Disability Advisory Council, to implement the recommendations of the QPC Inquiry. </w:t>
      </w:r>
    </w:p>
    <w:p w14:paraId="3D933C11" w14:textId="691AFE93" w:rsidR="00783ACA" w:rsidRPr="004E5D48" w:rsidRDefault="00783ACA" w:rsidP="00783ACA">
      <w:pPr>
        <w:rPr>
          <w:rFonts w:ascii="Arial" w:hAnsi="Arial" w:cs="Arial"/>
          <w:sz w:val="22"/>
          <w:szCs w:val="22"/>
        </w:rPr>
      </w:pPr>
      <w:r w:rsidRPr="004E5D48">
        <w:rPr>
          <w:rFonts w:ascii="Arial" w:hAnsi="Arial" w:cs="Arial"/>
          <w:sz w:val="22"/>
          <w:szCs w:val="22"/>
        </w:rPr>
        <w:t xml:space="preserve">The Queensland Government’s Disability Reform Implementation Interdepartmental Committee, comprised of Deputy Directors-General from key Queensland Government agencies, will be responsible for overseeing and monitoring implementation of the QPC Inquiry’s recommendations. </w:t>
      </w:r>
    </w:p>
    <w:bookmarkEnd w:id="0"/>
    <w:p w14:paraId="768C1CB8" w14:textId="77777777" w:rsidR="004E5D48" w:rsidRDefault="004E5D48" w:rsidP="006C61DA">
      <w:pPr>
        <w:rPr>
          <w:rFonts w:ascii="Arial" w:hAnsi="Arial" w:cs="Arial"/>
          <w:b/>
          <w:bCs/>
        </w:rPr>
        <w:sectPr w:rsidR="004E5D48" w:rsidSect="004E5D48">
          <w:type w:val="continuous"/>
          <w:pgSz w:w="11906" w:h="16838"/>
          <w:pgMar w:top="1440" w:right="1440" w:bottom="1440" w:left="1440" w:header="1440" w:footer="414" w:gutter="0"/>
          <w:cols w:num="2" w:space="708"/>
          <w:docGrid w:linePitch="360"/>
        </w:sectPr>
      </w:pPr>
    </w:p>
    <w:p w14:paraId="78B9B70D" w14:textId="42ACB442" w:rsidR="00E80F9C" w:rsidRPr="006C4E53" w:rsidRDefault="00E80F9C" w:rsidP="006C61DA">
      <w:pPr>
        <w:rPr>
          <w:rFonts w:ascii="Arial" w:hAnsi="Arial" w:cs="Arial"/>
          <w:b/>
          <w:bCs/>
        </w:rPr>
      </w:pPr>
    </w:p>
    <w:p w14:paraId="2DCC4B9D" w14:textId="77777777" w:rsidR="006A5A04" w:rsidRDefault="006A5A04" w:rsidP="006C61DA">
      <w:pPr>
        <w:autoSpaceDE w:val="0"/>
        <w:autoSpaceDN w:val="0"/>
        <w:adjustRightInd w:val="0"/>
        <w:rPr>
          <w:rFonts w:ascii="Arial" w:hAnsi="Arial" w:cs="Arial"/>
        </w:rPr>
        <w:sectPr w:rsidR="006A5A04" w:rsidSect="004E5D48">
          <w:type w:val="continuous"/>
          <w:pgSz w:w="11906" w:h="16838"/>
          <w:pgMar w:top="1440" w:right="1440" w:bottom="1440" w:left="1440" w:header="1440" w:footer="414" w:gutter="0"/>
          <w:cols w:space="708"/>
          <w:docGrid w:linePitch="360"/>
        </w:sectPr>
      </w:pPr>
    </w:p>
    <w:tbl>
      <w:tblPr>
        <w:tblStyle w:val="GridTable1Light-Accent4"/>
        <w:tblW w:w="10348" w:type="dxa"/>
        <w:tblInd w:w="-714" w:type="dxa"/>
        <w:tblLook w:val="04A0" w:firstRow="1" w:lastRow="0" w:firstColumn="1" w:lastColumn="0" w:noHBand="0" w:noVBand="1"/>
      </w:tblPr>
      <w:tblGrid>
        <w:gridCol w:w="7797"/>
        <w:gridCol w:w="2551"/>
      </w:tblGrid>
      <w:tr w:rsidR="00571ECD" w:rsidRPr="007D620B" w14:paraId="34F463EE" w14:textId="77777777" w:rsidTr="004A3B6D">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7797" w:type="dxa"/>
            <w:shd w:val="clear" w:color="auto" w:fill="B90748"/>
            <w:vAlign w:val="center"/>
          </w:tcPr>
          <w:p w14:paraId="5E564496" w14:textId="77777777" w:rsidR="00783ACA" w:rsidRPr="00571ECD" w:rsidRDefault="00783ACA" w:rsidP="004A3B6D">
            <w:pPr>
              <w:spacing w:before="120" w:after="120"/>
              <w:jc w:val="center"/>
              <w:rPr>
                <w:rFonts w:ascii="Arial" w:hAnsi="Arial" w:cs="Arial"/>
                <w:color w:val="FFFFFF" w:themeColor="background1"/>
                <w:sz w:val="22"/>
                <w:szCs w:val="22"/>
              </w:rPr>
            </w:pPr>
            <w:r w:rsidRPr="00571ECD">
              <w:rPr>
                <w:rFonts w:ascii="Arial" w:hAnsi="Arial" w:cs="Arial"/>
                <w:color w:val="FFFFFF" w:themeColor="background1"/>
                <w:sz w:val="22"/>
                <w:szCs w:val="22"/>
              </w:rPr>
              <w:lastRenderedPageBreak/>
              <w:t>Recommendation</w:t>
            </w:r>
          </w:p>
        </w:tc>
        <w:tc>
          <w:tcPr>
            <w:tcW w:w="2551" w:type="dxa"/>
            <w:shd w:val="clear" w:color="auto" w:fill="B90748"/>
            <w:vAlign w:val="center"/>
          </w:tcPr>
          <w:p w14:paraId="2E92131F" w14:textId="77777777" w:rsidR="00783ACA" w:rsidRPr="00571ECD" w:rsidRDefault="00783ACA" w:rsidP="004A3B6D">
            <w:pPr>
              <w:pStyle w:val="NoSpacing"/>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71ECD">
              <w:rPr>
                <w:rFonts w:ascii="Arial" w:hAnsi="Arial" w:cs="Arial"/>
                <w:color w:val="FFFFFF" w:themeColor="background1"/>
                <w:sz w:val="22"/>
                <w:szCs w:val="22"/>
              </w:rPr>
              <w:t>Queensland Government Position</w:t>
            </w:r>
          </w:p>
        </w:tc>
      </w:tr>
      <w:tr w:rsidR="004A3B6D" w:rsidRPr="007D620B" w14:paraId="4E80743A"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EAA68DF"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Improve access to the NDIS through governance structures; national outreach strategy and simpler access processes</w:t>
            </w:r>
          </w:p>
        </w:tc>
        <w:tc>
          <w:tcPr>
            <w:tcW w:w="2551" w:type="dxa"/>
            <w:shd w:val="clear" w:color="auto" w:fill="EED332"/>
            <w:vAlign w:val="center"/>
          </w:tcPr>
          <w:p w14:paraId="0A85EA76"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CCE5C4E"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0F7BA3A"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Advocate for ongoing monitoring and evaluation of independent assessments </w:t>
            </w:r>
          </w:p>
        </w:tc>
        <w:tc>
          <w:tcPr>
            <w:tcW w:w="2551" w:type="dxa"/>
            <w:shd w:val="clear" w:color="auto" w:fill="FCF7D8"/>
            <w:vAlign w:val="center"/>
          </w:tcPr>
          <w:p w14:paraId="2AAFFEC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Not applicable</w:t>
            </w:r>
          </w:p>
        </w:tc>
      </w:tr>
      <w:tr w:rsidR="004A3B6D" w:rsidRPr="007D620B" w14:paraId="56CB7595" w14:textId="77777777" w:rsidTr="004A3B6D">
        <w:trPr>
          <w:trHeight w:val="30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3B7FCC5"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assist participants to use their plans more effectively</w:t>
            </w:r>
          </w:p>
        </w:tc>
        <w:tc>
          <w:tcPr>
            <w:tcW w:w="2551" w:type="dxa"/>
            <w:shd w:val="clear" w:color="auto" w:fill="EED332"/>
            <w:vAlign w:val="center"/>
          </w:tcPr>
          <w:p w14:paraId="5468E2A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1A30E86F"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66AC452"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Provide more clarity about the meaning of ‘reasonable and necessary’ supports through implementation of the Tune Review </w:t>
            </w:r>
          </w:p>
        </w:tc>
        <w:tc>
          <w:tcPr>
            <w:tcW w:w="2551" w:type="dxa"/>
            <w:shd w:val="clear" w:color="auto" w:fill="EED332"/>
            <w:vAlign w:val="center"/>
          </w:tcPr>
          <w:p w14:paraId="58FA6CE8"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5068CEF"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151B03B"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to provide participants with greater choice and control over their budgets</w:t>
            </w:r>
          </w:p>
        </w:tc>
        <w:tc>
          <w:tcPr>
            <w:tcW w:w="2551" w:type="dxa"/>
            <w:shd w:val="clear" w:color="auto" w:fill="F6E792"/>
            <w:vAlign w:val="center"/>
          </w:tcPr>
          <w:p w14:paraId="15E2B355"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4667E2C6"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7598A7C"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improve the process for creating plans</w:t>
            </w:r>
          </w:p>
        </w:tc>
        <w:tc>
          <w:tcPr>
            <w:tcW w:w="2551" w:type="dxa"/>
            <w:shd w:val="clear" w:color="auto" w:fill="EED332"/>
            <w:vAlign w:val="center"/>
          </w:tcPr>
          <w:p w14:paraId="212292D6"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180DCC9E"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A73A74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removes barriers to participants moving onto self-managed plans</w:t>
            </w:r>
          </w:p>
        </w:tc>
        <w:tc>
          <w:tcPr>
            <w:tcW w:w="2551" w:type="dxa"/>
            <w:shd w:val="clear" w:color="auto" w:fill="F6E792"/>
            <w:vAlign w:val="center"/>
          </w:tcPr>
          <w:p w14:paraId="61E48D4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2893AD08"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46F96B9"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Propose training for planners and local area coordinators include a ‘coaching’ role  </w:t>
            </w:r>
          </w:p>
        </w:tc>
        <w:tc>
          <w:tcPr>
            <w:tcW w:w="2551" w:type="dxa"/>
            <w:shd w:val="clear" w:color="auto" w:fill="EED332"/>
            <w:vAlign w:val="center"/>
          </w:tcPr>
          <w:p w14:paraId="27F6226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0A573B1B"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461C1EE"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publicly reports on plan reviews</w:t>
            </w:r>
          </w:p>
        </w:tc>
        <w:tc>
          <w:tcPr>
            <w:tcW w:w="2551" w:type="dxa"/>
            <w:shd w:val="clear" w:color="auto" w:fill="EED332"/>
            <w:vAlign w:val="center"/>
          </w:tcPr>
          <w:p w14:paraId="75599FE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76DD6770"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F832F7C"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produces its response to the proposed Commonwealth Ombudsman’s annual report</w:t>
            </w:r>
          </w:p>
        </w:tc>
        <w:tc>
          <w:tcPr>
            <w:tcW w:w="2551" w:type="dxa"/>
            <w:shd w:val="clear" w:color="auto" w:fill="EED332"/>
            <w:vAlign w:val="center"/>
          </w:tcPr>
          <w:p w14:paraId="76C1761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4316E2DA"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6D62E59" w14:textId="7E8DB86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NDIS Quality and Safeguards Commission regularly reports on participant harm in</w:t>
            </w:r>
            <w:r w:rsidR="002B6C80">
              <w:rPr>
                <w:rFonts w:ascii="Arial" w:hAnsi="Arial" w:cs="Arial"/>
                <w:b w:val="0"/>
                <w:bCs w:val="0"/>
                <w:sz w:val="22"/>
                <w:szCs w:val="22"/>
              </w:rPr>
              <w:t xml:space="preserve"> the</w:t>
            </w:r>
            <w:r w:rsidRPr="00571ECD">
              <w:rPr>
                <w:rFonts w:ascii="Arial" w:hAnsi="Arial" w:cs="Arial"/>
                <w:b w:val="0"/>
                <w:bCs w:val="0"/>
                <w:sz w:val="22"/>
                <w:szCs w:val="22"/>
              </w:rPr>
              <w:t xml:space="preserve"> NDIS market</w:t>
            </w:r>
          </w:p>
        </w:tc>
        <w:tc>
          <w:tcPr>
            <w:tcW w:w="2551" w:type="dxa"/>
            <w:shd w:val="clear" w:color="auto" w:fill="EED332"/>
            <w:vAlign w:val="center"/>
          </w:tcPr>
          <w:p w14:paraId="01BCCD26"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654167AC"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00999F1"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Commonwealth introduces a Provider Guarantee</w:t>
            </w:r>
          </w:p>
        </w:tc>
        <w:tc>
          <w:tcPr>
            <w:tcW w:w="2551" w:type="dxa"/>
            <w:shd w:val="clear" w:color="auto" w:fill="F6E792"/>
            <w:vAlign w:val="center"/>
          </w:tcPr>
          <w:p w14:paraId="6B638DBC"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6FE54CFA"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9330D6D"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a review of standards is undertaken between commissions</w:t>
            </w:r>
          </w:p>
        </w:tc>
        <w:tc>
          <w:tcPr>
            <w:tcW w:w="2551" w:type="dxa"/>
            <w:shd w:val="clear" w:color="auto" w:fill="F6E792"/>
            <w:vAlign w:val="center"/>
          </w:tcPr>
          <w:p w14:paraId="5696BD34"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5E87B63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AC711E6"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Commonwealth funds a pilot for Allied Health Assistant roles</w:t>
            </w:r>
          </w:p>
        </w:tc>
        <w:tc>
          <w:tcPr>
            <w:tcW w:w="2551" w:type="dxa"/>
            <w:shd w:val="clear" w:color="auto" w:fill="EED332"/>
            <w:vAlign w:val="center"/>
          </w:tcPr>
          <w:p w14:paraId="520680C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7FB70DF6"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76697AE"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Commonwealth funds a pilot for better use of NDIS for Aboriginal and Torres Strait Islander peoples</w:t>
            </w:r>
          </w:p>
        </w:tc>
        <w:tc>
          <w:tcPr>
            <w:tcW w:w="2551" w:type="dxa"/>
            <w:shd w:val="clear" w:color="auto" w:fill="EED332"/>
            <w:vAlign w:val="center"/>
          </w:tcPr>
          <w:p w14:paraId="55D5A20F"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6F513F8"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C9F818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investigates the use of Therapist Assistant Level 3</w:t>
            </w:r>
          </w:p>
        </w:tc>
        <w:tc>
          <w:tcPr>
            <w:tcW w:w="2551" w:type="dxa"/>
            <w:shd w:val="clear" w:color="auto" w:fill="FCF7D8"/>
            <w:vAlign w:val="center"/>
          </w:tcPr>
          <w:p w14:paraId="7E38753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Partial accept</w:t>
            </w:r>
          </w:p>
        </w:tc>
      </w:tr>
      <w:tr w:rsidR="004A3B6D" w:rsidRPr="007D620B" w14:paraId="3A78A3FB"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30C0769"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Propose the NDIA provides capable participants with plan-managed plans </w:t>
            </w:r>
          </w:p>
        </w:tc>
        <w:tc>
          <w:tcPr>
            <w:tcW w:w="2551" w:type="dxa"/>
            <w:shd w:val="clear" w:color="auto" w:fill="F6E792"/>
            <w:vAlign w:val="center"/>
          </w:tcPr>
          <w:p w14:paraId="4F84F35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152948B7"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1379752"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includes price monitoring and releases price information</w:t>
            </w:r>
          </w:p>
        </w:tc>
        <w:tc>
          <w:tcPr>
            <w:tcW w:w="2551" w:type="dxa"/>
            <w:shd w:val="clear" w:color="auto" w:fill="EED332"/>
            <w:vAlign w:val="center"/>
          </w:tcPr>
          <w:p w14:paraId="0CB4F50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EBF47E8"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BD76447"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NDIS provides payments for a price comparator website</w:t>
            </w:r>
          </w:p>
        </w:tc>
        <w:tc>
          <w:tcPr>
            <w:tcW w:w="2551" w:type="dxa"/>
            <w:shd w:val="clear" w:color="auto" w:fill="EED332"/>
            <w:vAlign w:val="center"/>
          </w:tcPr>
          <w:p w14:paraId="412EE2C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1064974"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B367808"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Support the rollback of a price cap regulation</w:t>
            </w:r>
          </w:p>
        </w:tc>
        <w:tc>
          <w:tcPr>
            <w:tcW w:w="2551" w:type="dxa"/>
            <w:shd w:val="clear" w:color="auto" w:fill="F6E792"/>
            <w:vAlign w:val="center"/>
          </w:tcPr>
          <w:p w14:paraId="03A7A234"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0D7E0D3D"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93CD98E"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lastRenderedPageBreak/>
              <w:t>Propose appointment of a Pricing Commissioner</w:t>
            </w:r>
          </w:p>
        </w:tc>
        <w:tc>
          <w:tcPr>
            <w:tcW w:w="2551" w:type="dxa"/>
            <w:shd w:val="clear" w:color="auto" w:fill="F6E792"/>
            <w:vAlign w:val="center"/>
          </w:tcPr>
          <w:p w14:paraId="2E73047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678B4B17" w14:textId="77777777" w:rsidTr="004A3B6D">
        <w:trPr>
          <w:trHeight w:val="81"/>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7CE9AC1"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Disability Reform Ministers’ Meeting issue an annual risk appetite statement</w:t>
            </w:r>
          </w:p>
        </w:tc>
        <w:tc>
          <w:tcPr>
            <w:tcW w:w="2551" w:type="dxa"/>
            <w:shd w:val="clear" w:color="auto" w:fill="F6E792"/>
            <w:vAlign w:val="center"/>
          </w:tcPr>
          <w:p w14:paraId="0C139D6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1986D847"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5CCB228"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improves the information available</w:t>
            </w:r>
          </w:p>
        </w:tc>
        <w:tc>
          <w:tcPr>
            <w:tcW w:w="2551" w:type="dxa"/>
            <w:shd w:val="clear" w:color="auto" w:fill="EED332"/>
            <w:vAlign w:val="center"/>
          </w:tcPr>
          <w:p w14:paraId="78DB8B95"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1DEBDB8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523ED17"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and Quality and Safeguards Commission develop an information strategy</w:t>
            </w:r>
          </w:p>
        </w:tc>
        <w:tc>
          <w:tcPr>
            <w:tcW w:w="2551" w:type="dxa"/>
            <w:shd w:val="clear" w:color="auto" w:fill="EED332"/>
            <w:vAlign w:val="center"/>
          </w:tcPr>
          <w:p w14:paraId="2E4B6845"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409B88B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C51E0A5"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allows participants to share their information with digital marketplaces</w:t>
            </w:r>
          </w:p>
        </w:tc>
        <w:tc>
          <w:tcPr>
            <w:tcW w:w="2551" w:type="dxa"/>
            <w:shd w:val="clear" w:color="auto" w:fill="EED332"/>
            <w:vAlign w:val="center"/>
          </w:tcPr>
          <w:p w14:paraId="6C241DE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7C6F5472"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9D8F368"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data collected by the NDIA be used to indicate where funding is best allocated</w:t>
            </w:r>
          </w:p>
        </w:tc>
        <w:tc>
          <w:tcPr>
            <w:tcW w:w="2551" w:type="dxa"/>
            <w:shd w:val="clear" w:color="auto" w:fill="EED332"/>
            <w:vAlign w:val="center"/>
          </w:tcPr>
          <w:p w14:paraId="02FE9A3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4C77DED3"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6078E27"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publishes its strategy for addressing conflicts of interest in support coordination</w:t>
            </w:r>
          </w:p>
        </w:tc>
        <w:tc>
          <w:tcPr>
            <w:tcW w:w="2551" w:type="dxa"/>
            <w:shd w:val="clear" w:color="auto" w:fill="EED332"/>
            <w:vAlign w:val="center"/>
          </w:tcPr>
          <w:p w14:paraId="7AE55EEF"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2FE553E"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DAC22FD"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removes restrictions that prevent intermediary roles from evolving</w:t>
            </w:r>
          </w:p>
        </w:tc>
        <w:tc>
          <w:tcPr>
            <w:tcW w:w="2551" w:type="dxa"/>
            <w:shd w:val="clear" w:color="auto" w:fill="EED332"/>
            <w:vAlign w:val="center"/>
          </w:tcPr>
          <w:p w14:paraId="3FC711B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BB4660B"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0219103B"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allows extended service agreements to be offered by participants in markets with shortfall of supply</w:t>
            </w:r>
          </w:p>
        </w:tc>
        <w:tc>
          <w:tcPr>
            <w:tcW w:w="2551" w:type="dxa"/>
            <w:shd w:val="clear" w:color="auto" w:fill="F6E792"/>
            <w:vAlign w:val="center"/>
          </w:tcPr>
          <w:p w14:paraId="16905FB5"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310919F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2BB82D3"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aligns specialist disability accommodation, home modifications and supported independent living processes</w:t>
            </w:r>
          </w:p>
        </w:tc>
        <w:tc>
          <w:tcPr>
            <w:tcW w:w="2551" w:type="dxa"/>
            <w:shd w:val="clear" w:color="auto" w:fill="EED332"/>
            <w:vAlign w:val="center"/>
          </w:tcPr>
          <w:p w14:paraId="3E968F6D" w14:textId="2C83C1AC"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1BE300E1"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53622F9"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increases availability of market information on housing</w:t>
            </w:r>
          </w:p>
        </w:tc>
        <w:tc>
          <w:tcPr>
            <w:tcW w:w="2551" w:type="dxa"/>
            <w:shd w:val="clear" w:color="auto" w:fill="EED332"/>
            <w:vAlign w:val="center"/>
          </w:tcPr>
          <w:p w14:paraId="48E8892B"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1B993CE"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EA56B70"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Improve information the Queensland Government releases on participants in social housing and hospitals</w:t>
            </w:r>
          </w:p>
        </w:tc>
        <w:tc>
          <w:tcPr>
            <w:tcW w:w="2551" w:type="dxa"/>
            <w:shd w:val="clear" w:color="auto" w:fill="F6E792"/>
            <w:vAlign w:val="center"/>
          </w:tcPr>
          <w:p w14:paraId="5B178E4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7A1DB3D7"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7681C27"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investigates ways to educate on housing options and specialist disability accommodation</w:t>
            </w:r>
          </w:p>
        </w:tc>
        <w:tc>
          <w:tcPr>
            <w:tcW w:w="2551" w:type="dxa"/>
            <w:shd w:val="clear" w:color="auto" w:fill="EED332"/>
            <w:vAlign w:val="center"/>
          </w:tcPr>
          <w:p w14:paraId="300CE799"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49D6EB6F"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0894873"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NDIA to outline a long-term approach for conflicts of interest between specialist disability accommodation and supported independent living providers</w:t>
            </w:r>
          </w:p>
        </w:tc>
        <w:tc>
          <w:tcPr>
            <w:tcW w:w="2551" w:type="dxa"/>
            <w:shd w:val="clear" w:color="auto" w:fill="EED332"/>
            <w:vAlign w:val="center"/>
          </w:tcPr>
          <w:p w14:paraId="0DAD3BAC"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24F84F1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512D2C5"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Examine options for its stock of disability accommodation and services</w:t>
            </w:r>
          </w:p>
        </w:tc>
        <w:tc>
          <w:tcPr>
            <w:tcW w:w="2551" w:type="dxa"/>
            <w:shd w:val="clear" w:color="auto" w:fill="F6E792"/>
            <w:vAlign w:val="center"/>
          </w:tcPr>
          <w:p w14:paraId="4E2CBA6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6C926D5D"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4FF3CB5"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expedites development of performance measurement system</w:t>
            </w:r>
          </w:p>
        </w:tc>
        <w:tc>
          <w:tcPr>
            <w:tcW w:w="2551" w:type="dxa"/>
            <w:shd w:val="clear" w:color="auto" w:fill="EED332"/>
            <w:vAlign w:val="center"/>
          </w:tcPr>
          <w:p w14:paraId="2EC8E8A9"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76CA605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87A7E0C" w14:textId="33B7BF1C"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NDIA clarifies school-leaver employment supports (SLES) need to achieve actual employment outcomes through </w:t>
            </w:r>
            <w:r w:rsidR="002B6C80">
              <w:rPr>
                <w:rFonts w:ascii="Arial" w:hAnsi="Arial" w:cs="Arial"/>
                <w:b w:val="0"/>
                <w:bCs w:val="0"/>
                <w:sz w:val="22"/>
                <w:szCs w:val="22"/>
              </w:rPr>
              <w:t>R</w:t>
            </w:r>
            <w:r w:rsidRPr="00571ECD">
              <w:rPr>
                <w:rFonts w:ascii="Arial" w:hAnsi="Arial" w:cs="Arial"/>
                <w:b w:val="0"/>
                <w:bCs w:val="0"/>
                <w:sz w:val="22"/>
                <w:szCs w:val="22"/>
              </w:rPr>
              <w:t>ecommendation 36</w:t>
            </w:r>
          </w:p>
        </w:tc>
        <w:tc>
          <w:tcPr>
            <w:tcW w:w="2551" w:type="dxa"/>
            <w:shd w:val="clear" w:color="auto" w:fill="EED332"/>
            <w:vAlign w:val="center"/>
          </w:tcPr>
          <w:p w14:paraId="1E42768A"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08AE2221"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CDF3CD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NDIS examines benefits of extending SLES to school years prior to Year 12</w:t>
            </w:r>
          </w:p>
        </w:tc>
        <w:tc>
          <w:tcPr>
            <w:tcW w:w="2551" w:type="dxa"/>
            <w:shd w:val="clear" w:color="auto" w:fill="F6E792"/>
            <w:vAlign w:val="center"/>
          </w:tcPr>
          <w:p w14:paraId="2B2D6CA8"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165AD95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B600F3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lastRenderedPageBreak/>
              <w:t>Review programs that assist people with intellectual disability in post-secondary education</w:t>
            </w:r>
          </w:p>
        </w:tc>
        <w:tc>
          <w:tcPr>
            <w:tcW w:w="2551" w:type="dxa"/>
            <w:shd w:val="clear" w:color="auto" w:fill="EED332"/>
            <w:vAlign w:val="center"/>
          </w:tcPr>
          <w:p w14:paraId="4F33EEB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729BBC86"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650FB82"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Investigate, with the NDIA, costs and benefits of increasing work experience for students with disability </w:t>
            </w:r>
          </w:p>
        </w:tc>
        <w:tc>
          <w:tcPr>
            <w:tcW w:w="2551" w:type="dxa"/>
            <w:shd w:val="clear" w:color="auto" w:fill="EED332"/>
            <w:vAlign w:val="center"/>
          </w:tcPr>
          <w:p w14:paraId="5BCD6B56"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A8D37AD"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B9C4B4D"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reviews processes related to assisting people into employment</w:t>
            </w:r>
          </w:p>
        </w:tc>
        <w:tc>
          <w:tcPr>
            <w:tcW w:w="2551" w:type="dxa"/>
            <w:shd w:val="clear" w:color="auto" w:fill="EED332"/>
            <w:vAlign w:val="center"/>
          </w:tcPr>
          <w:p w14:paraId="1601B519"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379308B"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69DDF81"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Improve evidence base of NDIS delivery in rural/remote areas</w:t>
            </w:r>
          </w:p>
        </w:tc>
        <w:tc>
          <w:tcPr>
            <w:tcW w:w="2551" w:type="dxa"/>
            <w:shd w:val="clear" w:color="auto" w:fill="EED332"/>
            <w:vAlign w:val="center"/>
          </w:tcPr>
          <w:p w14:paraId="21945B24"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6C4189C7"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6B4834BD"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assesses support coordination in rural/remote areas</w:t>
            </w:r>
          </w:p>
        </w:tc>
        <w:tc>
          <w:tcPr>
            <w:tcW w:w="2551" w:type="dxa"/>
            <w:shd w:val="clear" w:color="auto" w:fill="F6E792"/>
            <w:vAlign w:val="center"/>
          </w:tcPr>
          <w:p w14:paraId="4C1C143F"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2C97A7DA"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94F8FC8"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NDIS Thin Markets Project prioritises the development of a thin market framework</w:t>
            </w:r>
          </w:p>
        </w:tc>
        <w:tc>
          <w:tcPr>
            <w:tcW w:w="2551" w:type="dxa"/>
            <w:shd w:val="clear" w:color="auto" w:fill="EED332"/>
            <w:vAlign w:val="center"/>
          </w:tcPr>
          <w:p w14:paraId="6C4BA22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02066200"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10F2458"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NDIS assesses support coordination in Aboriginal and Torres Strait Islander communities</w:t>
            </w:r>
          </w:p>
        </w:tc>
        <w:tc>
          <w:tcPr>
            <w:tcW w:w="2551" w:type="dxa"/>
            <w:shd w:val="clear" w:color="auto" w:fill="F6E792"/>
            <w:vAlign w:val="center"/>
          </w:tcPr>
          <w:p w14:paraId="4CF22F1E"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607F5AEF"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9EA5425"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NDIA evaluates programs that improve delivery of the NDIS to Aboriginal and Torres Strait Islander peoples</w:t>
            </w:r>
          </w:p>
        </w:tc>
        <w:tc>
          <w:tcPr>
            <w:tcW w:w="2551" w:type="dxa"/>
            <w:shd w:val="clear" w:color="auto" w:fill="EED332"/>
            <w:vAlign w:val="center"/>
          </w:tcPr>
          <w:p w14:paraId="3DAAE77C"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1F28B7E0"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0D0695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Remove barriers for Aboriginal and Torres Strait Islander peoples regarding worker screening</w:t>
            </w:r>
          </w:p>
        </w:tc>
        <w:tc>
          <w:tcPr>
            <w:tcW w:w="2551" w:type="dxa"/>
            <w:shd w:val="clear" w:color="auto" w:fill="EED332"/>
            <w:vAlign w:val="center"/>
          </w:tcPr>
          <w:p w14:paraId="2665819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635CC193"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822CD2F"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Promote clarity and efficiency in the Queensland Government’s restrictive practices regime</w:t>
            </w:r>
          </w:p>
        </w:tc>
        <w:tc>
          <w:tcPr>
            <w:tcW w:w="2551" w:type="dxa"/>
            <w:shd w:val="clear" w:color="auto" w:fill="EED332"/>
            <w:vAlign w:val="center"/>
          </w:tcPr>
          <w:p w14:paraId="6A2688D8"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1B22F3F"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87B0EF2"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Announce timetable for removing the Queensland Government’s statutory monopoly on the preparation of Positive Behaviour Support Plans</w:t>
            </w:r>
          </w:p>
        </w:tc>
        <w:tc>
          <w:tcPr>
            <w:tcW w:w="2551" w:type="dxa"/>
            <w:shd w:val="clear" w:color="auto" w:fill="F6E792"/>
            <w:vAlign w:val="center"/>
          </w:tcPr>
          <w:p w14:paraId="23F9655C"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 in-principle</w:t>
            </w:r>
          </w:p>
        </w:tc>
      </w:tr>
      <w:tr w:rsidR="004A3B6D" w:rsidRPr="007D620B" w14:paraId="5A7374BE"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BCB5FE7"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Continue to engage in intergovernmental processes aimed at resolving issues around participant access to transport services</w:t>
            </w:r>
          </w:p>
        </w:tc>
        <w:tc>
          <w:tcPr>
            <w:tcW w:w="2551" w:type="dxa"/>
            <w:shd w:val="clear" w:color="auto" w:fill="F6E792"/>
            <w:vAlign w:val="center"/>
          </w:tcPr>
          <w:p w14:paraId="642AD67D"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571ECD">
              <w:rPr>
                <w:rFonts w:ascii="Arial" w:hAnsi="Arial" w:cs="Arial"/>
                <w:sz w:val="22"/>
                <w:szCs w:val="22"/>
              </w:rPr>
              <w:t>Accept in-principle</w:t>
            </w:r>
          </w:p>
        </w:tc>
      </w:tr>
      <w:tr w:rsidR="004A3B6D" w:rsidRPr="007D620B" w14:paraId="1377E67D"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A52761E"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Ensure appropriate weight is given to competing interests when developing intergovernmental agreements</w:t>
            </w:r>
          </w:p>
        </w:tc>
        <w:tc>
          <w:tcPr>
            <w:tcW w:w="2551" w:type="dxa"/>
            <w:shd w:val="clear" w:color="auto" w:fill="EED332"/>
            <w:vAlign w:val="center"/>
          </w:tcPr>
          <w:p w14:paraId="688A0F4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E35AE9C"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79D213E3"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Evaluate effectiveness of Queensland Government interventions to promote access to the NDIS</w:t>
            </w:r>
          </w:p>
        </w:tc>
        <w:tc>
          <w:tcPr>
            <w:tcW w:w="2551" w:type="dxa"/>
            <w:shd w:val="clear" w:color="auto" w:fill="EED332"/>
            <w:vAlign w:val="center"/>
          </w:tcPr>
          <w:p w14:paraId="0B51DA7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35B253A3"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C789227" w14:textId="462B8C70"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Disability Reform Ministers’ Meeting to publish its guidance to the NDIA </w:t>
            </w:r>
            <w:r w:rsidR="004871C2">
              <w:rPr>
                <w:rFonts w:ascii="Arial" w:hAnsi="Arial" w:cs="Arial"/>
                <w:b w:val="0"/>
                <w:bCs w:val="0"/>
                <w:sz w:val="22"/>
                <w:szCs w:val="22"/>
              </w:rPr>
              <w:t>B</w:t>
            </w:r>
            <w:r w:rsidRPr="00571ECD">
              <w:rPr>
                <w:rFonts w:ascii="Arial" w:hAnsi="Arial" w:cs="Arial"/>
                <w:b w:val="0"/>
                <w:bCs w:val="0"/>
                <w:sz w:val="22"/>
                <w:szCs w:val="22"/>
              </w:rPr>
              <w:t>oard</w:t>
            </w:r>
          </w:p>
        </w:tc>
        <w:tc>
          <w:tcPr>
            <w:tcW w:w="2551" w:type="dxa"/>
            <w:shd w:val="clear" w:color="auto" w:fill="EED332"/>
            <w:vAlign w:val="center"/>
          </w:tcPr>
          <w:p w14:paraId="488BC932"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2E1AB46"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153F713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 xml:space="preserve">Propose the Disability Reform Ministers’ Meeting publishes its work program </w:t>
            </w:r>
          </w:p>
        </w:tc>
        <w:tc>
          <w:tcPr>
            <w:tcW w:w="2551" w:type="dxa"/>
            <w:shd w:val="clear" w:color="auto" w:fill="EED332"/>
            <w:vAlign w:val="center"/>
          </w:tcPr>
          <w:p w14:paraId="3DE69B54"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5A321A09"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6747A64"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Disability Reform Ministers’ Meeting to continue to provide effective governance to support the NDIS market</w:t>
            </w:r>
          </w:p>
        </w:tc>
        <w:tc>
          <w:tcPr>
            <w:tcW w:w="2551" w:type="dxa"/>
            <w:shd w:val="clear" w:color="auto" w:fill="EED332"/>
            <w:vAlign w:val="center"/>
          </w:tcPr>
          <w:p w14:paraId="2D881FA0"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r w:rsidR="004A3B6D" w:rsidRPr="007D620B" w14:paraId="43E67EBD" w14:textId="77777777" w:rsidTr="004A3B6D">
        <w:trPr>
          <w:trHeight w:val="280"/>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4F1DAE19" w14:textId="77777777" w:rsidR="00783ACA" w:rsidRPr="00571ECD" w:rsidRDefault="00783ACA" w:rsidP="004A3B6D">
            <w:pPr>
              <w:pStyle w:val="ListParagraph"/>
              <w:numPr>
                <w:ilvl w:val="0"/>
                <w:numId w:val="29"/>
              </w:numPr>
              <w:spacing w:before="120" w:after="120"/>
              <w:rPr>
                <w:rFonts w:ascii="Arial" w:hAnsi="Arial" w:cs="Arial"/>
                <w:b w:val="0"/>
                <w:bCs w:val="0"/>
                <w:sz w:val="22"/>
                <w:szCs w:val="22"/>
              </w:rPr>
            </w:pPr>
            <w:r w:rsidRPr="00571ECD">
              <w:rPr>
                <w:rFonts w:ascii="Arial" w:hAnsi="Arial" w:cs="Arial"/>
                <w:b w:val="0"/>
                <w:bCs w:val="0"/>
                <w:sz w:val="22"/>
                <w:szCs w:val="22"/>
              </w:rPr>
              <w:t>Propose the Australian Productivity Commission advises the NDIS on review arrangements for review of NDIS costs in 2023</w:t>
            </w:r>
          </w:p>
        </w:tc>
        <w:tc>
          <w:tcPr>
            <w:tcW w:w="2551" w:type="dxa"/>
            <w:shd w:val="clear" w:color="auto" w:fill="EED332"/>
            <w:vAlign w:val="center"/>
          </w:tcPr>
          <w:p w14:paraId="40ACE553" w14:textId="77777777" w:rsidR="00783ACA" w:rsidRPr="00571ECD" w:rsidRDefault="00783ACA" w:rsidP="004A3B6D">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1ECD">
              <w:rPr>
                <w:rFonts w:ascii="Arial" w:hAnsi="Arial" w:cs="Arial"/>
                <w:sz w:val="22"/>
                <w:szCs w:val="22"/>
              </w:rPr>
              <w:t>Accept</w:t>
            </w:r>
          </w:p>
        </w:tc>
      </w:tr>
    </w:tbl>
    <w:p w14:paraId="3BF8459E" w14:textId="77777777" w:rsidR="002D0FE9" w:rsidRPr="0087704C" w:rsidRDefault="002D0FE9">
      <w:pPr>
        <w:rPr>
          <w:rFonts w:ascii="Arial" w:hAnsi="Arial" w:cs="Arial"/>
          <w:noProof/>
        </w:rPr>
      </w:pPr>
    </w:p>
    <w:sectPr w:rsidR="002D0FE9" w:rsidRPr="0087704C" w:rsidSect="00783ACA">
      <w:footerReference w:type="first" r:id="rId15"/>
      <w:pgSz w:w="11906" w:h="16838"/>
      <w:pgMar w:top="1440" w:right="1440" w:bottom="1440" w:left="1440" w:header="1440" w:footer="41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401CF" w16cex:dateUtc="2021-10-27T06:50:00Z"/>
  <w16cex:commentExtensible w16cex:durableId="2524025E" w16cex:dateUtc="2021-10-27T06:52:00Z"/>
  <w16cex:commentExtensible w16cex:durableId="252402FD" w16cex:dateUtc="2021-10-27T06:55:00Z"/>
  <w16cex:commentExtensible w16cex:durableId="2524036F" w16cex:dateUtc="2021-10-27T06: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65CF5" w14:textId="77777777" w:rsidR="00FF625E" w:rsidRDefault="00FF625E" w:rsidP="00DE1583">
      <w:pPr>
        <w:spacing w:after="0" w:line="240" w:lineRule="auto"/>
      </w:pPr>
      <w:r>
        <w:separator/>
      </w:r>
    </w:p>
  </w:endnote>
  <w:endnote w:type="continuationSeparator" w:id="0">
    <w:p w14:paraId="0709AA80" w14:textId="77777777" w:rsidR="00FF625E" w:rsidRDefault="00FF625E" w:rsidP="00DE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2136" w14:textId="613E64A0" w:rsidR="00CB63E9" w:rsidRPr="00627B8A" w:rsidRDefault="00CB63E9" w:rsidP="0021666B">
    <w:pPr>
      <w:pStyle w:val="Footer"/>
      <w:jc w:val="right"/>
      <w:rPr>
        <w:rFonts w:ascii="Arial" w:hAnsi="Arial" w:cs="Arial"/>
      </w:rPr>
    </w:pPr>
    <w:r w:rsidRPr="00627B8A">
      <w:rPr>
        <w:rFonts w:ascii="Arial" w:hAnsi="Arial" w:cs="Arial"/>
        <w:b/>
        <w:bCs/>
      </w:rPr>
      <w:tab/>
    </w:r>
    <w:sdt>
      <w:sdtPr>
        <w:rPr>
          <w:rFonts w:ascii="Arial" w:hAnsi="Arial" w:cs="Arial"/>
        </w:rPr>
        <w:id w:val="-1231691929"/>
        <w:docPartObj>
          <w:docPartGallery w:val="Page Numbers (Bottom of Page)"/>
          <w:docPartUnique/>
        </w:docPartObj>
      </w:sdtPr>
      <w:sdtEndPr>
        <w:rPr>
          <w:noProof/>
        </w:rPr>
      </w:sdtEndPr>
      <w:sdtContent>
        <w:r w:rsidRPr="00627B8A">
          <w:rPr>
            <w:rFonts w:ascii="Arial" w:hAnsi="Arial" w:cs="Arial"/>
          </w:rPr>
          <w:fldChar w:fldCharType="begin"/>
        </w:r>
        <w:r w:rsidRPr="00627B8A">
          <w:rPr>
            <w:rFonts w:ascii="Arial" w:hAnsi="Arial" w:cs="Arial"/>
          </w:rPr>
          <w:instrText xml:space="preserve"> PAGE   \* MERGEFORMAT </w:instrText>
        </w:r>
        <w:r w:rsidRPr="00627B8A">
          <w:rPr>
            <w:rFonts w:ascii="Arial" w:hAnsi="Arial" w:cs="Arial"/>
          </w:rPr>
          <w:fldChar w:fldCharType="separate"/>
        </w:r>
        <w:r w:rsidRPr="00627B8A">
          <w:rPr>
            <w:rFonts w:ascii="Arial" w:hAnsi="Arial" w:cs="Arial"/>
          </w:rPr>
          <w:t>3</w:t>
        </w:r>
        <w:r w:rsidRPr="00627B8A">
          <w:rPr>
            <w:rFonts w:ascii="Arial" w:hAnsi="Arial"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C573F" w14:textId="4E681A0D" w:rsidR="00CB63E9" w:rsidRDefault="00CB63E9" w:rsidP="0021666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8AA5" w14:textId="77777777" w:rsidR="00CB63E9" w:rsidRDefault="00CB63E9" w:rsidP="0021666B">
    <w:pPr>
      <w:pStyle w:val="Footer"/>
      <w:jc w:val="right"/>
    </w:pPr>
    <w:r>
      <w:rPr>
        <w:b/>
        <w:bCs/>
        <w:noProof/>
      </w:rPr>
      <w:drawing>
        <wp:anchor distT="0" distB="0" distL="114300" distR="114300" simplePos="0" relativeHeight="251699200" behindDoc="1" locked="0" layoutInCell="1" allowOverlap="1" wp14:anchorId="006FFFA1" wp14:editId="0D4E2EFC">
          <wp:simplePos x="0" y="0"/>
          <wp:positionH relativeFrom="column">
            <wp:posOffset>-924560</wp:posOffset>
          </wp:positionH>
          <wp:positionV relativeFrom="paragraph">
            <wp:posOffset>-127903</wp:posOffset>
          </wp:positionV>
          <wp:extent cx="7571335" cy="83967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1335" cy="839675"/>
                  </a:xfrm>
                  <a:prstGeom prst="rect">
                    <a:avLst/>
                  </a:prstGeom>
                </pic:spPr>
              </pic:pic>
            </a:graphicData>
          </a:graphic>
          <wp14:sizeRelH relativeFrom="page">
            <wp14:pctWidth>0</wp14:pctWidth>
          </wp14:sizeRelH>
          <wp14:sizeRelV relativeFrom="page">
            <wp14:pctHeight>0</wp14:pctHeight>
          </wp14:sizeRelV>
        </wp:anchor>
      </w:drawing>
    </w:r>
  </w:p>
  <w:p w14:paraId="6A97BD6C" w14:textId="77777777" w:rsidR="00CB63E9" w:rsidRDefault="00CB63E9" w:rsidP="0021666B">
    <w:pPr>
      <w:pStyle w:val="Footer"/>
      <w:rPr>
        <w:b/>
        <w:bCs/>
      </w:rPr>
    </w:pPr>
    <w:r>
      <w:rPr>
        <w:b/>
        <w:bCs/>
      </w:rPr>
      <w:t>Cabinet in Confidence</w:t>
    </w:r>
  </w:p>
  <w:p w14:paraId="5A4ABE36" w14:textId="77777777" w:rsidR="00CB63E9" w:rsidRPr="0021666B" w:rsidRDefault="00CB63E9">
    <w:pPr>
      <w:pStyle w:val="Footer"/>
      <w:rPr>
        <w:b/>
        <w:bCs/>
      </w:rPr>
    </w:pPr>
    <w:r w:rsidRPr="008B5285">
      <w:rPr>
        <w:b/>
        <w:bCs/>
      </w:rPr>
      <w:t>Not Government Policy – Not for circulation or citation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3175D" w14:textId="77777777" w:rsidR="00FF625E" w:rsidRDefault="00FF625E" w:rsidP="00DE1583">
      <w:pPr>
        <w:spacing w:after="0" w:line="240" w:lineRule="auto"/>
      </w:pPr>
      <w:r>
        <w:separator/>
      </w:r>
    </w:p>
  </w:footnote>
  <w:footnote w:type="continuationSeparator" w:id="0">
    <w:p w14:paraId="406D063F" w14:textId="77777777" w:rsidR="00FF625E" w:rsidRDefault="00FF625E" w:rsidP="00DE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AB94" w14:textId="7F369E09" w:rsidR="00CB63E9" w:rsidRDefault="00CB63E9">
    <w:pPr>
      <w:pStyle w:val="Header"/>
    </w:pPr>
    <w:r>
      <w:rPr>
        <w:noProof/>
        <w:lang w:eastAsia="en-AU"/>
      </w:rPr>
      <w:drawing>
        <wp:anchor distT="0" distB="0" distL="114300" distR="114300" simplePos="0" relativeHeight="251665408" behindDoc="1" locked="0" layoutInCell="1" allowOverlap="1" wp14:anchorId="25CF0420" wp14:editId="7751034A">
          <wp:simplePos x="0" y="0"/>
          <wp:positionH relativeFrom="column">
            <wp:posOffset>-899160</wp:posOffset>
          </wp:positionH>
          <wp:positionV relativeFrom="paragraph">
            <wp:posOffset>-914940</wp:posOffset>
          </wp:positionV>
          <wp:extent cx="7531735" cy="1074420"/>
          <wp:effectExtent l="0" t="0" r="0" b="0"/>
          <wp:wrapTight wrapText="bothSides">
            <wp:wrapPolygon edited="0">
              <wp:start x="0" y="0"/>
              <wp:lineTo x="0" y="21064"/>
              <wp:lineTo x="21525" y="21064"/>
              <wp:lineTo x="21525"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1" cstate="email">
                    <a:extLst>
                      <a:ext uri="{28A0092B-C50C-407E-A947-70E740481C1C}">
                        <a14:useLocalDpi xmlns:a14="http://schemas.microsoft.com/office/drawing/2010/main"/>
                      </a:ext>
                    </a:extLst>
                  </a:blip>
                  <a:stretch>
                    <a:fillRect/>
                  </a:stretch>
                </pic:blipFill>
                <pic:spPr>
                  <a:xfrm>
                    <a:off x="0" y="0"/>
                    <a:ext cx="7531735" cy="10744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6826" w14:textId="31B796D0" w:rsidR="00CB63E9" w:rsidRDefault="00CB63E9">
    <w:pPr>
      <w:pStyle w:val="Header"/>
    </w:pPr>
    <w:r>
      <w:rPr>
        <w:noProof/>
      </w:rPr>
      <w:drawing>
        <wp:anchor distT="0" distB="0" distL="114300" distR="114300" simplePos="0" relativeHeight="251700224" behindDoc="1" locked="0" layoutInCell="1" allowOverlap="1" wp14:anchorId="1DE79C08" wp14:editId="74E9A1EB">
          <wp:simplePos x="0" y="0"/>
          <wp:positionH relativeFrom="column">
            <wp:posOffset>-930275</wp:posOffset>
          </wp:positionH>
          <wp:positionV relativeFrom="paragraph">
            <wp:posOffset>-936750</wp:posOffset>
          </wp:positionV>
          <wp:extent cx="7559345" cy="1068492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345" cy="106849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24CF"/>
    <w:multiLevelType w:val="hybridMultilevel"/>
    <w:tmpl w:val="91F259DE"/>
    <w:lvl w:ilvl="0" w:tplc="04090001">
      <w:start w:val="1"/>
      <w:numFmt w:val="bullet"/>
      <w:lvlText w:val=""/>
      <w:lvlJc w:val="left"/>
      <w:pPr>
        <w:ind w:left="558" w:hanging="360"/>
      </w:pPr>
      <w:rPr>
        <w:rFonts w:ascii="Symbol" w:hAnsi="Symbol" w:hint="default"/>
      </w:rPr>
    </w:lvl>
    <w:lvl w:ilvl="1" w:tplc="FFFFFFFF" w:tentative="1">
      <w:start w:val="1"/>
      <w:numFmt w:val="bullet"/>
      <w:lvlText w:val="o"/>
      <w:lvlJc w:val="left"/>
      <w:pPr>
        <w:ind w:left="1278" w:hanging="360"/>
      </w:pPr>
      <w:rPr>
        <w:rFonts w:ascii="Courier New" w:hAnsi="Courier New" w:cs="Courier New" w:hint="default"/>
      </w:rPr>
    </w:lvl>
    <w:lvl w:ilvl="2" w:tplc="FFFFFFFF" w:tentative="1">
      <w:start w:val="1"/>
      <w:numFmt w:val="bullet"/>
      <w:lvlText w:val=""/>
      <w:lvlJc w:val="left"/>
      <w:pPr>
        <w:ind w:left="1998" w:hanging="360"/>
      </w:pPr>
      <w:rPr>
        <w:rFonts w:ascii="Wingdings" w:hAnsi="Wingdings" w:hint="default"/>
      </w:rPr>
    </w:lvl>
    <w:lvl w:ilvl="3" w:tplc="FFFFFFFF" w:tentative="1">
      <w:start w:val="1"/>
      <w:numFmt w:val="bullet"/>
      <w:lvlText w:val=""/>
      <w:lvlJc w:val="left"/>
      <w:pPr>
        <w:ind w:left="2718" w:hanging="360"/>
      </w:pPr>
      <w:rPr>
        <w:rFonts w:ascii="Symbol" w:hAnsi="Symbol" w:hint="default"/>
      </w:rPr>
    </w:lvl>
    <w:lvl w:ilvl="4" w:tplc="FFFFFFFF" w:tentative="1">
      <w:start w:val="1"/>
      <w:numFmt w:val="bullet"/>
      <w:lvlText w:val="o"/>
      <w:lvlJc w:val="left"/>
      <w:pPr>
        <w:ind w:left="3438" w:hanging="360"/>
      </w:pPr>
      <w:rPr>
        <w:rFonts w:ascii="Courier New" w:hAnsi="Courier New" w:cs="Courier New" w:hint="default"/>
      </w:rPr>
    </w:lvl>
    <w:lvl w:ilvl="5" w:tplc="FFFFFFFF" w:tentative="1">
      <w:start w:val="1"/>
      <w:numFmt w:val="bullet"/>
      <w:lvlText w:val=""/>
      <w:lvlJc w:val="left"/>
      <w:pPr>
        <w:ind w:left="4158" w:hanging="360"/>
      </w:pPr>
      <w:rPr>
        <w:rFonts w:ascii="Wingdings" w:hAnsi="Wingdings" w:hint="default"/>
      </w:rPr>
    </w:lvl>
    <w:lvl w:ilvl="6" w:tplc="FFFFFFFF" w:tentative="1">
      <w:start w:val="1"/>
      <w:numFmt w:val="bullet"/>
      <w:lvlText w:val=""/>
      <w:lvlJc w:val="left"/>
      <w:pPr>
        <w:ind w:left="4878" w:hanging="360"/>
      </w:pPr>
      <w:rPr>
        <w:rFonts w:ascii="Symbol" w:hAnsi="Symbol" w:hint="default"/>
      </w:rPr>
    </w:lvl>
    <w:lvl w:ilvl="7" w:tplc="FFFFFFFF" w:tentative="1">
      <w:start w:val="1"/>
      <w:numFmt w:val="bullet"/>
      <w:lvlText w:val="o"/>
      <w:lvlJc w:val="left"/>
      <w:pPr>
        <w:ind w:left="5598" w:hanging="360"/>
      </w:pPr>
      <w:rPr>
        <w:rFonts w:ascii="Courier New" w:hAnsi="Courier New" w:cs="Courier New" w:hint="default"/>
      </w:rPr>
    </w:lvl>
    <w:lvl w:ilvl="8" w:tplc="FFFFFFFF" w:tentative="1">
      <w:start w:val="1"/>
      <w:numFmt w:val="bullet"/>
      <w:lvlText w:val=""/>
      <w:lvlJc w:val="left"/>
      <w:pPr>
        <w:ind w:left="6318" w:hanging="360"/>
      </w:pPr>
      <w:rPr>
        <w:rFonts w:ascii="Wingdings" w:hAnsi="Wingdings" w:hint="default"/>
      </w:rPr>
    </w:lvl>
  </w:abstractNum>
  <w:abstractNum w:abstractNumId="1" w15:restartNumberingAfterBreak="0">
    <w:nsid w:val="0E2B48D8"/>
    <w:multiLevelType w:val="hybridMultilevel"/>
    <w:tmpl w:val="711EFAC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 w15:restartNumberingAfterBreak="0">
    <w:nsid w:val="15ED5867"/>
    <w:multiLevelType w:val="hybridMultilevel"/>
    <w:tmpl w:val="4B3A48D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3" w15:restartNumberingAfterBreak="0">
    <w:nsid w:val="177F162D"/>
    <w:multiLevelType w:val="hybridMultilevel"/>
    <w:tmpl w:val="C78E2FC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4" w15:restartNumberingAfterBreak="0">
    <w:nsid w:val="1BBF22B7"/>
    <w:multiLevelType w:val="hybridMultilevel"/>
    <w:tmpl w:val="EFC293C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5" w15:restartNumberingAfterBreak="0">
    <w:nsid w:val="1D9A52E5"/>
    <w:multiLevelType w:val="hybridMultilevel"/>
    <w:tmpl w:val="A61E452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6" w15:restartNumberingAfterBreak="0">
    <w:nsid w:val="202C6F59"/>
    <w:multiLevelType w:val="hybridMultilevel"/>
    <w:tmpl w:val="FA5ADE7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7" w15:restartNumberingAfterBreak="0">
    <w:nsid w:val="243D7CCA"/>
    <w:multiLevelType w:val="hybridMultilevel"/>
    <w:tmpl w:val="4876586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8" w15:restartNumberingAfterBreak="0">
    <w:nsid w:val="2EC27499"/>
    <w:multiLevelType w:val="hybridMultilevel"/>
    <w:tmpl w:val="DC8474F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9" w15:restartNumberingAfterBreak="0">
    <w:nsid w:val="30CF36C8"/>
    <w:multiLevelType w:val="hybridMultilevel"/>
    <w:tmpl w:val="AD1693B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0" w15:restartNumberingAfterBreak="0">
    <w:nsid w:val="32756D59"/>
    <w:multiLevelType w:val="hybridMultilevel"/>
    <w:tmpl w:val="9BB61DCA"/>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1" w15:restartNumberingAfterBreak="0">
    <w:nsid w:val="3AAF07C0"/>
    <w:multiLevelType w:val="hybridMultilevel"/>
    <w:tmpl w:val="8A28AB54"/>
    <w:lvl w:ilvl="0" w:tplc="04090001">
      <w:start w:val="1"/>
      <w:numFmt w:val="bullet"/>
      <w:lvlText w:val=""/>
      <w:lvlJc w:val="left"/>
      <w:pPr>
        <w:ind w:left="558" w:hanging="360"/>
      </w:pPr>
      <w:rPr>
        <w:rFonts w:ascii="Symbol" w:hAnsi="Symbol" w:hint="default"/>
      </w:rPr>
    </w:lvl>
    <w:lvl w:ilvl="1" w:tplc="2A24FF04">
      <w:numFmt w:val="bullet"/>
      <w:lvlText w:val="•"/>
      <w:lvlJc w:val="left"/>
      <w:pPr>
        <w:ind w:left="1278" w:hanging="360"/>
      </w:pPr>
      <w:rPr>
        <w:rFonts w:ascii="Arial" w:eastAsiaTheme="minorEastAsia" w:hAnsi="Arial" w:cs="Arial"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2" w15:restartNumberingAfterBreak="0">
    <w:nsid w:val="3E337012"/>
    <w:multiLevelType w:val="hybridMultilevel"/>
    <w:tmpl w:val="F75299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FBB3AEC"/>
    <w:multiLevelType w:val="hybridMultilevel"/>
    <w:tmpl w:val="81A88F6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4" w15:restartNumberingAfterBreak="0">
    <w:nsid w:val="42A91597"/>
    <w:multiLevelType w:val="multilevel"/>
    <w:tmpl w:val="B4467C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3A73022"/>
    <w:multiLevelType w:val="hybridMultilevel"/>
    <w:tmpl w:val="94F8980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6" w15:restartNumberingAfterBreak="0">
    <w:nsid w:val="43B83841"/>
    <w:multiLevelType w:val="hybridMultilevel"/>
    <w:tmpl w:val="E82C64B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7" w15:restartNumberingAfterBreak="0">
    <w:nsid w:val="45A62AF1"/>
    <w:multiLevelType w:val="hybridMultilevel"/>
    <w:tmpl w:val="22E04B10"/>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8" w15:restartNumberingAfterBreak="0">
    <w:nsid w:val="47BB0230"/>
    <w:multiLevelType w:val="hybridMultilevel"/>
    <w:tmpl w:val="46DE48E2"/>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19" w15:restartNumberingAfterBreak="0">
    <w:nsid w:val="4ECD591D"/>
    <w:multiLevelType w:val="hybridMultilevel"/>
    <w:tmpl w:val="CF6851D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0" w15:restartNumberingAfterBreak="0">
    <w:nsid w:val="508532E9"/>
    <w:multiLevelType w:val="multilevel"/>
    <w:tmpl w:val="DDF23760"/>
    <w:lvl w:ilvl="0">
      <w:start w:val="1"/>
      <w:numFmt w:val="bullet"/>
      <w:pStyle w:val="Bulletedlis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47E3D93"/>
    <w:multiLevelType w:val="hybridMultilevel"/>
    <w:tmpl w:val="C1741CE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2" w15:restartNumberingAfterBreak="0">
    <w:nsid w:val="557D62C4"/>
    <w:multiLevelType w:val="hybridMultilevel"/>
    <w:tmpl w:val="E284764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3" w15:restartNumberingAfterBreak="0">
    <w:nsid w:val="63964CD0"/>
    <w:multiLevelType w:val="multilevel"/>
    <w:tmpl w:val="4C3AAAA2"/>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6EF310F"/>
    <w:multiLevelType w:val="hybridMultilevel"/>
    <w:tmpl w:val="6E10E0CA"/>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5" w15:restartNumberingAfterBreak="0">
    <w:nsid w:val="733E6A11"/>
    <w:multiLevelType w:val="hybridMultilevel"/>
    <w:tmpl w:val="C99AA0B6"/>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6" w15:restartNumberingAfterBreak="0">
    <w:nsid w:val="73DC0A78"/>
    <w:multiLevelType w:val="hybridMultilevel"/>
    <w:tmpl w:val="9D040A3C"/>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7" w15:restartNumberingAfterBreak="0">
    <w:nsid w:val="7AFE39A6"/>
    <w:multiLevelType w:val="hybridMultilevel"/>
    <w:tmpl w:val="61A43D82"/>
    <w:lvl w:ilvl="0" w:tplc="04090001">
      <w:start w:val="1"/>
      <w:numFmt w:val="bullet"/>
      <w:lvlText w:val=""/>
      <w:lvlJc w:val="left"/>
      <w:pPr>
        <w:ind w:left="558" w:hanging="360"/>
      </w:pPr>
      <w:rPr>
        <w:rFonts w:ascii="Symbol" w:hAnsi="Symbol" w:hint="default"/>
      </w:rPr>
    </w:lvl>
    <w:lvl w:ilvl="1" w:tplc="04090003">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28" w15:restartNumberingAfterBreak="0">
    <w:nsid w:val="7C464BA9"/>
    <w:multiLevelType w:val="hybridMultilevel"/>
    <w:tmpl w:val="CA187DD4"/>
    <w:lvl w:ilvl="0" w:tplc="04090001">
      <w:start w:val="1"/>
      <w:numFmt w:val="bullet"/>
      <w:lvlText w:val=""/>
      <w:lvlJc w:val="left"/>
      <w:pPr>
        <w:ind w:left="558" w:hanging="360"/>
      </w:pPr>
      <w:rPr>
        <w:rFonts w:ascii="Symbol" w:hAnsi="Symbol" w:hint="default"/>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num w:numId="1">
    <w:abstractNumId w:val="14"/>
  </w:num>
  <w:num w:numId="2">
    <w:abstractNumId w:val="20"/>
  </w:num>
  <w:num w:numId="3">
    <w:abstractNumId w:val="6"/>
  </w:num>
  <w:num w:numId="4">
    <w:abstractNumId w:val="25"/>
  </w:num>
  <w:num w:numId="5">
    <w:abstractNumId w:val="21"/>
  </w:num>
  <w:num w:numId="6">
    <w:abstractNumId w:val="4"/>
  </w:num>
  <w:num w:numId="7">
    <w:abstractNumId w:val="18"/>
  </w:num>
  <w:num w:numId="8">
    <w:abstractNumId w:val="11"/>
  </w:num>
  <w:num w:numId="9">
    <w:abstractNumId w:val="16"/>
  </w:num>
  <w:num w:numId="10">
    <w:abstractNumId w:val="3"/>
  </w:num>
  <w:num w:numId="11">
    <w:abstractNumId w:val="7"/>
  </w:num>
  <w:num w:numId="12">
    <w:abstractNumId w:val="17"/>
  </w:num>
  <w:num w:numId="13">
    <w:abstractNumId w:val="27"/>
  </w:num>
  <w:num w:numId="14">
    <w:abstractNumId w:val="0"/>
  </w:num>
  <w:num w:numId="15">
    <w:abstractNumId w:val="1"/>
  </w:num>
  <w:num w:numId="16">
    <w:abstractNumId w:val="26"/>
  </w:num>
  <w:num w:numId="17">
    <w:abstractNumId w:val="22"/>
  </w:num>
  <w:num w:numId="18">
    <w:abstractNumId w:val="2"/>
  </w:num>
  <w:num w:numId="19">
    <w:abstractNumId w:val="15"/>
  </w:num>
  <w:num w:numId="20">
    <w:abstractNumId w:val="10"/>
  </w:num>
  <w:num w:numId="21">
    <w:abstractNumId w:val="24"/>
  </w:num>
  <w:num w:numId="22">
    <w:abstractNumId w:val="19"/>
  </w:num>
  <w:num w:numId="23">
    <w:abstractNumId w:val="9"/>
  </w:num>
  <w:num w:numId="24">
    <w:abstractNumId w:val="8"/>
  </w:num>
  <w:num w:numId="25">
    <w:abstractNumId w:val="28"/>
  </w:num>
  <w:num w:numId="26">
    <w:abstractNumId w:val="13"/>
  </w:num>
  <w:num w:numId="27">
    <w:abstractNumId w:val="5"/>
  </w:num>
  <w:num w:numId="28">
    <w:abstractNumId w:val="23"/>
  </w:num>
  <w:num w:numId="29">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2D"/>
    <w:rsid w:val="0000146A"/>
    <w:rsid w:val="000049B4"/>
    <w:rsid w:val="0001306B"/>
    <w:rsid w:val="00014D7B"/>
    <w:rsid w:val="00023287"/>
    <w:rsid w:val="0003691E"/>
    <w:rsid w:val="00040F4F"/>
    <w:rsid w:val="000530EA"/>
    <w:rsid w:val="000549CE"/>
    <w:rsid w:val="00070510"/>
    <w:rsid w:val="00073D28"/>
    <w:rsid w:val="00073D79"/>
    <w:rsid w:val="000744B1"/>
    <w:rsid w:val="00082AC3"/>
    <w:rsid w:val="00084F11"/>
    <w:rsid w:val="000911AF"/>
    <w:rsid w:val="000A288F"/>
    <w:rsid w:val="000A315A"/>
    <w:rsid w:val="000A6C4D"/>
    <w:rsid w:val="000B26F5"/>
    <w:rsid w:val="000B5390"/>
    <w:rsid w:val="000C0F63"/>
    <w:rsid w:val="000C19E2"/>
    <w:rsid w:val="000C1B80"/>
    <w:rsid w:val="000C5276"/>
    <w:rsid w:val="000D0601"/>
    <w:rsid w:val="000E00F8"/>
    <w:rsid w:val="000E04F2"/>
    <w:rsid w:val="000E41F7"/>
    <w:rsid w:val="000F39CE"/>
    <w:rsid w:val="000F733A"/>
    <w:rsid w:val="001029E9"/>
    <w:rsid w:val="001101AF"/>
    <w:rsid w:val="00111C95"/>
    <w:rsid w:val="00116831"/>
    <w:rsid w:val="00117F0C"/>
    <w:rsid w:val="001210A7"/>
    <w:rsid w:val="00133B32"/>
    <w:rsid w:val="00133CAE"/>
    <w:rsid w:val="001441E0"/>
    <w:rsid w:val="001445B6"/>
    <w:rsid w:val="00146CA2"/>
    <w:rsid w:val="001517FD"/>
    <w:rsid w:val="00151B2A"/>
    <w:rsid w:val="00160321"/>
    <w:rsid w:val="00164011"/>
    <w:rsid w:val="00170FB4"/>
    <w:rsid w:val="00173E62"/>
    <w:rsid w:val="001759AB"/>
    <w:rsid w:val="00196462"/>
    <w:rsid w:val="001A57A7"/>
    <w:rsid w:val="001B160A"/>
    <w:rsid w:val="001B1EF0"/>
    <w:rsid w:val="001B2240"/>
    <w:rsid w:val="001B4276"/>
    <w:rsid w:val="001C56F3"/>
    <w:rsid w:val="001C6446"/>
    <w:rsid w:val="001D3EFD"/>
    <w:rsid w:val="001D7650"/>
    <w:rsid w:val="001D7843"/>
    <w:rsid w:val="001F1CA1"/>
    <w:rsid w:val="00202D00"/>
    <w:rsid w:val="00213795"/>
    <w:rsid w:val="00215B57"/>
    <w:rsid w:val="0021666B"/>
    <w:rsid w:val="00224021"/>
    <w:rsid w:val="00235C5D"/>
    <w:rsid w:val="00243420"/>
    <w:rsid w:val="002434EF"/>
    <w:rsid w:val="0024355E"/>
    <w:rsid w:val="00250946"/>
    <w:rsid w:val="00251B00"/>
    <w:rsid w:val="0025285B"/>
    <w:rsid w:val="002533A2"/>
    <w:rsid w:val="00254905"/>
    <w:rsid w:val="00255545"/>
    <w:rsid w:val="0027060B"/>
    <w:rsid w:val="00272B5E"/>
    <w:rsid w:val="00274572"/>
    <w:rsid w:val="002900D0"/>
    <w:rsid w:val="00293B92"/>
    <w:rsid w:val="002A7876"/>
    <w:rsid w:val="002B6C80"/>
    <w:rsid w:val="002D0FE9"/>
    <w:rsid w:val="002D3FE0"/>
    <w:rsid w:val="002D771A"/>
    <w:rsid w:val="002D7DCA"/>
    <w:rsid w:val="002E6549"/>
    <w:rsid w:val="002F32BB"/>
    <w:rsid w:val="002F566B"/>
    <w:rsid w:val="00311EA4"/>
    <w:rsid w:val="00313D56"/>
    <w:rsid w:val="003165A6"/>
    <w:rsid w:val="00332DB1"/>
    <w:rsid w:val="00337092"/>
    <w:rsid w:val="00347061"/>
    <w:rsid w:val="00347146"/>
    <w:rsid w:val="00352A4F"/>
    <w:rsid w:val="00355DA3"/>
    <w:rsid w:val="00361BA7"/>
    <w:rsid w:val="00363CF9"/>
    <w:rsid w:val="0036672D"/>
    <w:rsid w:val="003723AA"/>
    <w:rsid w:val="00387670"/>
    <w:rsid w:val="00394FEA"/>
    <w:rsid w:val="003977D5"/>
    <w:rsid w:val="003A235A"/>
    <w:rsid w:val="003A3FA5"/>
    <w:rsid w:val="003A635E"/>
    <w:rsid w:val="003B05F9"/>
    <w:rsid w:val="003C0D92"/>
    <w:rsid w:val="003C133D"/>
    <w:rsid w:val="003C2B0C"/>
    <w:rsid w:val="003C63D3"/>
    <w:rsid w:val="003C7C0E"/>
    <w:rsid w:val="003D3619"/>
    <w:rsid w:val="003D4DE4"/>
    <w:rsid w:val="003D5105"/>
    <w:rsid w:val="003E2660"/>
    <w:rsid w:val="003E41EC"/>
    <w:rsid w:val="003E6508"/>
    <w:rsid w:val="003E7594"/>
    <w:rsid w:val="00404116"/>
    <w:rsid w:val="00406378"/>
    <w:rsid w:val="00412CC2"/>
    <w:rsid w:val="00413B3B"/>
    <w:rsid w:val="00422F51"/>
    <w:rsid w:val="004344D1"/>
    <w:rsid w:val="00436629"/>
    <w:rsid w:val="00442177"/>
    <w:rsid w:val="00442506"/>
    <w:rsid w:val="00451765"/>
    <w:rsid w:val="0045759B"/>
    <w:rsid w:val="004609D8"/>
    <w:rsid w:val="00464D13"/>
    <w:rsid w:val="004667FC"/>
    <w:rsid w:val="0047215C"/>
    <w:rsid w:val="00476645"/>
    <w:rsid w:val="00486FA6"/>
    <w:rsid w:val="004871C2"/>
    <w:rsid w:val="004A3B6D"/>
    <w:rsid w:val="004A42F0"/>
    <w:rsid w:val="004A4370"/>
    <w:rsid w:val="004A534E"/>
    <w:rsid w:val="004A6C59"/>
    <w:rsid w:val="004A7F28"/>
    <w:rsid w:val="004B1E0F"/>
    <w:rsid w:val="004C1683"/>
    <w:rsid w:val="004D1B0B"/>
    <w:rsid w:val="004E42C0"/>
    <w:rsid w:val="004E5AE2"/>
    <w:rsid w:val="004E5D48"/>
    <w:rsid w:val="004E7569"/>
    <w:rsid w:val="004E7AE0"/>
    <w:rsid w:val="00500298"/>
    <w:rsid w:val="005042A9"/>
    <w:rsid w:val="00516904"/>
    <w:rsid w:val="005171C8"/>
    <w:rsid w:val="00542A35"/>
    <w:rsid w:val="0054533E"/>
    <w:rsid w:val="00561DA6"/>
    <w:rsid w:val="00571ECD"/>
    <w:rsid w:val="00576F29"/>
    <w:rsid w:val="00580112"/>
    <w:rsid w:val="00583D63"/>
    <w:rsid w:val="00586D8D"/>
    <w:rsid w:val="005879E0"/>
    <w:rsid w:val="00590FDB"/>
    <w:rsid w:val="0059564C"/>
    <w:rsid w:val="00597AA4"/>
    <w:rsid w:val="00597B9F"/>
    <w:rsid w:val="00597BB9"/>
    <w:rsid w:val="005B2F64"/>
    <w:rsid w:val="005B4581"/>
    <w:rsid w:val="005C40FD"/>
    <w:rsid w:val="005E1C44"/>
    <w:rsid w:val="005F3136"/>
    <w:rsid w:val="005F60D2"/>
    <w:rsid w:val="006126CD"/>
    <w:rsid w:val="00615CCD"/>
    <w:rsid w:val="00627B8A"/>
    <w:rsid w:val="0063266A"/>
    <w:rsid w:val="00641528"/>
    <w:rsid w:val="00645236"/>
    <w:rsid w:val="0064617F"/>
    <w:rsid w:val="006517FA"/>
    <w:rsid w:val="00655505"/>
    <w:rsid w:val="006648BA"/>
    <w:rsid w:val="00675653"/>
    <w:rsid w:val="0068488B"/>
    <w:rsid w:val="00691DC7"/>
    <w:rsid w:val="00692219"/>
    <w:rsid w:val="006A5A04"/>
    <w:rsid w:val="006B66FB"/>
    <w:rsid w:val="006C1106"/>
    <w:rsid w:val="006C4E53"/>
    <w:rsid w:val="006C61DA"/>
    <w:rsid w:val="006C632E"/>
    <w:rsid w:val="006E0EAD"/>
    <w:rsid w:val="006F343C"/>
    <w:rsid w:val="00710944"/>
    <w:rsid w:val="007172CA"/>
    <w:rsid w:val="007214EF"/>
    <w:rsid w:val="00730DD9"/>
    <w:rsid w:val="007527E8"/>
    <w:rsid w:val="0076194A"/>
    <w:rsid w:val="007627C3"/>
    <w:rsid w:val="007640B0"/>
    <w:rsid w:val="00783ACA"/>
    <w:rsid w:val="007957AF"/>
    <w:rsid w:val="007A17B7"/>
    <w:rsid w:val="007A3238"/>
    <w:rsid w:val="007A4A6B"/>
    <w:rsid w:val="007B09B8"/>
    <w:rsid w:val="007B12C6"/>
    <w:rsid w:val="007B240A"/>
    <w:rsid w:val="007B4D84"/>
    <w:rsid w:val="007C5A3C"/>
    <w:rsid w:val="007D0627"/>
    <w:rsid w:val="007D2C94"/>
    <w:rsid w:val="007D50B5"/>
    <w:rsid w:val="007E00D5"/>
    <w:rsid w:val="007E0B0B"/>
    <w:rsid w:val="007E4C31"/>
    <w:rsid w:val="007F30C7"/>
    <w:rsid w:val="007F5370"/>
    <w:rsid w:val="008004A5"/>
    <w:rsid w:val="008212A1"/>
    <w:rsid w:val="00821DED"/>
    <w:rsid w:val="00826E79"/>
    <w:rsid w:val="0083469F"/>
    <w:rsid w:val="00836A72"/>
    <w:rsid w:val="00841349"/>
    <w:rsid w:val="008435E0"/>
    <w:rsid w:val="00850D25"/>
    <w:rsid w:val="00856DBE"/>
    <w:rsid w:val="0086018C"/>
    <w:rsid w:val="00860AB9"/>
    <w:rsid w:val="0087704C"/>
    <w:rsid w:val="00881581"/>
    <w:rsid w:val="00882ACF"/>
    <w:rsid w:val="00884090"/>
    <w:rsid w:val="00886951"/>
    <w:rsid w:val="00887DAE"/>
    <w:rsid w:val="00893580"/>
    <w:rsid w:val="008A5903"/>
    <w:rsid w:val="008A5D02"/>
    <w:rsid w:val="008B4AF6"/>
    <w:rsid w:val="008B4D6B"/>
    <w:rsid w:val="008B5285"/>
    <w:rsid w:val="008B59DC"/>
    <w:rsid w:val="008B617E"/>
    <w:rsid w:val="008B6B0B"/>
    <w:rsid w:val="008B6FEF"/>
    <w:rsid w:val="008B720E"/>
    <w:rsid w:val="008C2235"/>
    <w:rsid w:val="008D1C9C"/>
    <w:rsid w:val="008D392D"/>
    <w:rsid w:val="008D3F73"/>
    <w:rsid w:val="008E2D9E"/>
    <w:rsid w:val="008E50E4"/>
    <w:rsid w:val="008E5AC1"/>
    <w:rsid w:val="008F27ED"/>
    <w:rsid w:val="008F5C67"/>
    <w:rsid w:val="008F6F43"/>
    <w:rsid w:val="00905AEE"/>
    <w:rsid w:val="00913B5A"/>
    <w:rsid w:val="009424A4"/>
    <w:rsid w:val="00943411"/>
    <w:rsid w:val="009460DB"/>
    <w:rsid w:val="009519D1"/>
    <w:rsid w:val="00961820"/>
    <w:rsid w:val="00962AA3"/>
    <w:rsid w:val="00964E0C"/>
    <w:rsid w:val="009748C4"/>
    <w:rsid w:val="00983B14"/>
    <w:rsid w:val="00987C8A"/>
    <w:rsid w:val="00990546"/>
    <w:rsid w:val="009940E2"/>
    <w:rsid w:val="00995BD6"/>
    <w:rsid w:val="009B3011"/>
    <w:rsid w:val="009C1649"/>
    <w:rsid w:val="009C1EDB"/>
    <w:rsid w:val="009C59CB"/>
    <w:rsid w:val="009E2840"/>
    <w:rsid w:val="009E5D1C"/>
    <w:rsid w:val="009F7D4C"/>
    <w:rsid w:val="00A00EB9"/>
    <w:rsid w:val="00A32A11"/>
    <w:rsid w:val="00A357B7"/>
    <w:rsid w:val="00A3785D"/>
    <w:rsid w:val="00A51440"/>
    <w:rsid w:val="00A66476"/>
    <w:rsid w:val="00A725D3"/>
    <w:rsid w:val="00A75268"/>
    <w:rsid w:val="00A76711"/>
    <w:rsid w:val="00A77792"/>
    <w:rsid w:val="00A833CB"/>
    <w:rsid w:val="00A9094F"/>
    <w:rsid w:val="00A94A65"/>
    <w:rsid w:val="00A978BD"/>
    <w:rsid w:val="00AA1EC1"/>
    <w:rsid w:val="00AC6815"/>
    <w:rsid w:val="00AD2730"/>
    <w:rsid w:val="00AD441D"/>
    <w:rsid w:val="00AD63D1"/>
    <w:rsid w:val="00B03696"/>
    <w:rsid w:val="00B068A0"/>
    <w:rsid w:val="00B1720B"/>
    <w:rsid w:val="00B25E1D"/>
    <w:rsid w:val="00B36786"/>
    <w:rsid w:val="00B368BE"/>
    <w:rsid w:val="00B372FD"/>
    <w:rsid w:val="00B37EDD"/>
    <w:rsid w:val="00B44391"/>
    <w:rsid w:val="00B463F2"/>
    <w:rsid w:val="00B55764"/>
    <w:rsid w:val="00B56FDB"/>
    <w:rsid w:val="00B57133"/>
    <w:rsid w:val="00B6231F"/>
    <w:rsid w:val="00B71D33"/>
    <w:rsid w:val="00B73DAD"/>
    <w:rsid w:val="00B753A1"/>
    <w:rsid w:val="00B923FD"/>
    <w:rsid w:val="00B94DFA"/>
    <w:rsid w:val="00BA548B"/>
    <w:rsid w:val="00BB4310"/>
    <w:rsid w:val="00BB7D39"/>
    <w:rsid w:val="00BC17B6"/>
    <w:rsid w:val="00BD14AE"/>
    <w:rsid w:val="00BE53A7"/>
    <w:rsid w:val="00BF36BA"/>
    <w:rsid w:val="00C05AFF"/>
    <w:rsid w:val="00C11785"/>
    <w:rsid w:val="00C13002"/>
    <w:rsid w:val="00C17C44"/>
    <w:rsid w:val="00C20346"/>
    <w:rsid w:val="00C22197"/>
    <w:rsid w:val="00C223EA"/>
    <w:rsid w:val="00C22491"/>
    <w:rsid w:val="00C3019B"/>
    <w:rsid w:val="00C43049"/>
    <w:rsid w:val="00C4433E"/>
    <w:rsid w:val="00C5327D"/>
    <w:rsid w:val="00C60F85"/>
    <w:rsid w:val="00C6453B"/>
    <w:rsid w:val="00C66077"/>
    <w:rsid w:val="00C74222"/>
    <w:rsid w:val="00C7721C"/>
    <w:rsid w:val="00C84654"/>
    <w:rsid w:val="00CA0283"/>
    <w:rsid w:val="00CB269F"/>
    <w:rsid w:val="00CB63E9"/>
    <w:rsid w:val="00CC7CAE"/>
    <w:rsid w:val="00CD3678"/>
    <w:rsid w:val="00CD6781"/>
    <w:rsid w:val="00CE0079"/>
    <w:rsid w:val="00CF35F5"/>
    <w:rsid w:val="00D0475B"/>
    <w:rsid w:val="00D05EFB"/>
    <w:rsid w:val="00D1099E"/>
    <w:rsid w:val="00D111CD"/>
    <w:rsid w:val="00D17B31"/>
    <w:rsid w:val="00D22AB8"/>
    <w:rsid w:val="00D238F2"/>
    <w:rsid w:val="00D256AF"/>
    <w:rsid w:val="00D31A6C"/>
    <w:rsid w:val="00D336A1"/>
    <w:rsid w:val="00D41BC7"/>
    <w:rsid w:val="00D50841"/>
    <w:rsid w:val="00D54D5C"/>
    <w:rsid w:val="00D56B44"/>
    <w:rsid w:val="00D63348"/>
    <w:rsid w:val="00D77679"/>
    <w:rsid w:val="00D85921"/>
    <w:rsid w:val="00D87295"/>
    <w:rsid w:val="00D93BF5"/>
    <w:rsid w:val="00D9787D"/>
    <w:rsid w:val="00DA2FF0"/>
    <w:rsid w:val="00DA5436"/>
    <w:rsid w:val="00DB7826"/>
    <w:rsid w:val="00DC298C"/>
    <w:rsid w:val="00DC3832"/>
    <w:rsid w:val="00DC3AC6"/>
    <w:rsid w:val="00DC7987"/>
    <w:rsid w:val="00DD37A1"/>
    <w:rsid w:val="00DD78B7"/>
    <w:rsid w:val="00DE1583"/>
    <w:rsid w:val="00DE1BD3"/>
    <w:rsid w:val="00DE5556"/>
    <w:rsid w:val="00E23AE3"/>
    <w:rsid w:val="00E33B64"/>
    <w:rsid w:val="00E42017"/>
    <w:rsid w:val="00E45BBB"/>
    <w:rsid w:val="00E54249"/>
    <w:rsid w:val="00E757B8"/>
    <w:rsid w:val="00E80F9C"/>
    <w:rsid w:val="00E835F9"/>
    <w:rsid w:val="00E9644F"/>
    <w:rsid w:val="00EA1C84"/>
    <w:rsid w:val="00EB50E9"/>
    <w:rsid w:val="00EC2EDC"/>
    <w:rsid w:val="00EC4070"/>
    <w:rsid w:val="00ED5A7F"/>
    <w:rsid w:val="00ED6736"/>
    <w:rsid w:val="00EE3BE6"/>
    <w:rsid w:val="00EE5440"/>
    <w:rsid w:val="00F02DF0"/>
    <w:rsid w:val="00F02FA9"/>
    <w:rsid w:val="00F20CEB"/>
    <w:rsid w:val="00F238C1"/>
    <w:rsid w:val="00F31953"/>
    <w:rsid w:val="00F32F85"/>
    <w:rsid w:val="00F36620"/>
    <w:rsid w:val="00F36BD5"/>
    <w:rsid w:val="00F444A8"/>
    <w:rsid w:val="00F549F8"/>
    <w:rsid w:val="00F73624"/>
    <w:rsid w:val="00F76E14"/>
    <w:rsid w:val="00F82110"/>
    <w:rsid w:val="00F8327D"/>
    <w:rsid w:val="00F87AA5"/>
    <w:rsid w:val="00F9608F"/>
    <w:rsid w:val="00FA4D2D"/>
    <w:rsid w:val="00FC0D0A"/>
    <w:rsid w:val="00FD41DE"/>
    <w:rsid w:val="00FE17C6"/>
    <w:rsid w:val="00FF17CC"/>
    <w:rsid w:val="00FF3126"/>
    <w:rsid w:val="00FF625E"/>
    <w:rsid w:val="00FF7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7C2BA"/>
  <w15:chartTrackingRefBased/>
  <w15:docId w15:val="{27F75A2C-F1FA-4144-8878-373BBA85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A65"/>
  </w:style>
  <w:style w:type="paragraph" w:styleId="Heading1">
    <w:name w:val="heading 1"/>
    <w:basedOn w:val="Normal"/>
    <w:next w:val="Normal"/>
    <w:link w:val="Heading1Char"/>
    <w:uiPriority w:val="9"/>
    <w:qFormat/>
    <w:rsid w:val="003E7594"/>
    <w:pPr>
      <w:keepNext/>
      <w:keepLines/>
      <w:pBdr>
        <w:bottom w:val="single" w:sz="4" w:space="2" w:color="ED7D31" w:themeColor="accent2"/>
      </w:pBdr>
      <w:spacing w:before="360" w:line="240" w:lineRule="auto"/>
      <w:outlineLvl w:val="0"/>
    </w:pPr>
    <w:rPr>
      <w:rFonts w:ascii="Arial" w:eastAsiaTheme="majorEastAsia" w:hAnsi="Arial" w:cs="Arial"/>
      <w:color w:val="B90748"/>
      <w:sz w:val="32"/>
      <w:szCs w:val="32"/>
    </w:rPr>
  </w:style>
  <w:style w:type="paragraph" w:styleId="Heading2">
    <w:name w:val="heading 2"/>
    <w:basedOn w:val="Normal"/>
    <w:next w:val="Normal"/>
    <w:link w:val="Heading2Char"/>
    <w:uiPriority w:val="9"/>
    <w:unhideWhenUsed/>
    <w:qFormat/>
    <w:rsid w:val="00F20CEB"/>
    <w:pPr>
      <w:keepNext/>
      <w:keepLines/>
      <w:spacing w:line="240" w:lineRule="auto"/>
      <w:outlineLvl w:val="1"/>
    </w:pPr>
    <w:rPr>
      <w:rFonts w:ascii="Arial" w:eastAsiaTheme="majorEastAsia" w:hAnsi="Arial" w:cs="Arial"/>
      <w:color w:val="B90748"/>
      <w:sz w:val="24"/>
      <w:szCs w:val="24"/>
    </w:rPr>
  </w:style>
  <w:style w:type="paragraph" w:styleId="Heading3">
    <w:name w:val="heading 3"/>
    <w:basedOn w:val="Normal"/>
    <w:next w:val="Normal"/>
    <w:link w:val="Heading3Char"/>
    <w:uiPriority w:val="9"/>
    <w:semiHidden/>
    <w:unhideWhenUsed/>
    <w:qFormat/>
    <w:rsid w:val="00A94A6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94A6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94A6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94A6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94A6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94A6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94A6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594"/>
    <w:rPr>
      <w:rFonts w:ascii="Arial" w:eastAsiaTheme="majorEastAsia" w:hAnsi="Arial" w:cs="Arial"/>
      <w:color w:val="B90748"/>
      <w:sz w:val="32"/>
      <w:szCs w:val="32"/>
    </w:rPr>
  </w:style>
  <w:style w:type="paragraph" w:styleId="Header">
    <w:name w:val="header"/>
    <w:basedOn w:val="Normal"/>
    <w:link w:val="HeaderChar"/>
    <w:uiPriority w:val="99"/>
    <w:unhideWhenUsed/>
    <w:rsid w:val="00DE1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583"/>
  </w:style>
  <w:style w:type="paragraph" w:styleId="Footer">
    <w:name w:val="footer"/>
    <w:basedOn w:val="Normal"/>
    <w:link w:val="FooterChar"/>
    <w:uiPriority w:val="99"/>
    <w:unhideWhenUsed/>
    <w:rsid w:val="00DE1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583"/>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6C1106"/>
    <w:pPr>
      <w:ind w:left="720"/>
      <w:contextualSpacing/>
    </w:pPr>
  </w:style>
  <w:style w:type="paragraph" w:styleId="BalloonText">
    <w:name w:val="Balloon Text"/>
    <w:basedOn w:val="Normal"/>
    <w:link w:val="BalloonTextChar"/>
    <w:uiPriority w:val="99"/>
    <w:semiHidden/>
    <w:unhideWhenUsed/>
    <w:rsid w:val="00250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946"/>
    <w:rPr>
      <w:rFonts w:ascii="Segoe UI" w:hAnsi="Segoe UI" w:cs="Segoe UI"/>
      <w:sz w:val="18"/>
      <w:szCs w:val="18"/>
    </w:rPr>
  </w:style>
  <w:style w:type="character" w:styleId="CommentReference">
    <w:name w:val="annotation reference"/>
    <w:basedOn w:val="DefaultParagraphFont"/>
    <w:uiPriority w:val="99"/>
    <w:semiHidden/>
    <w:unhideWhenUsed/>
    <w:rsid w:val="0083469F"/>
    <w:rPr>
      <w:sz w:val="16"/>
      <w:szCs w:val="16"/>
    </w:rPr>
  </w:style>
  <w:style w:type="paragraph" w:styleId="CommentText">
    <w:name w:val="annotation text"/>
    <w:basedOn w:val="Normal"/>
    <w:link w:val="CommentTextChar"/>
    <w:uiPriority w:val="99"/>
    <w:unhideWhenUsed/>
    <w:rsid w:val="0083469F"/>
    <w:pPr>
      <w:spacing w:line="240" w:lineRule="auto"/>
    </w:pPr>
  </w:style>
  <w:style w:type="character" w:customStyle="1" w:styleId="CommentTextChar">
    <w:name w:val="Comment Text Char"/>
    <w:basedOn w:val="DefaultParagraphFont"/>
    <w:link w:val="CommentText"/>
    <w:uiPriority w:val="99"/>
    <w:rsid w:val="0083469F"/>
    <w:rPr>
      <w:sz w:val="20"/>
      <w:szCs w:val="20"/>
    </w:rPr>
  </w:style>
  <w:style w:type="character" w:styleId="Hyperlink">
    <w:name w:val="Hyperlink"/>
    <w:basedOn w:val="DefaultParagraphFont"/>
    <w:uiPriority w:val="99"/>
    <w:unhideWhenUsed/>
    <w:rsid w:val="00881581"/>
    <w:rPr>
      <w:color w:val="0563C1" w:themeColor="hyperlink"/>
      <w:u w:val="single"/>
    </w:rPr>
  </w:style>
  <w:style w:type="character" w:styleId="UnresolvedMention">
    <w:name w:val="Unresolved Mention"/>
    <w:basedOn w:val="DefaultParagraphFont"/>
    <w:uiPriority w:val="99"/>
    <w:semiHidden/>
    <w:unhideWhenUsed/>
    <w:rsid w:val="00881581"/>
    <w:rPr>
      <w:color w:val="605E5C"/>
      <w:shd w:val="clear" w:color="auto" w:fill="E1DFDD"/>
    </w:rPr>
  </w:style>
  <w:style w:type="paragraph" w:customStyle="1" w:styleId="BodycopyQPC">
    <w:name w:val="Body copy QPC"/>
    <w:basedOn w:val="Normal"/>
    <w:link w:val="BodycopyQPCChar"/>
    <w:qFormat/>
    <w:rsid w:val="00436629"/>
    <w:pPr>
      <w:spacing w:line="240" w:lineRule="auto"/>
    </w:pPr>
    <w:rPr>
      <w:rFonts w:ascii="Arial" w:hAnsi="Arial"/>
      <w:color w:val="000000" w:themeColor="text1"/>
      <w:sz w:val="22"/>
    </w:rPr>
  </w:style>
  <w:style w:type="table" w:styleId="TableGrid">
    <w:name w:val="Table Grid"/>
    <w:basedOn w:val="TableNormal"/>
    <w:uiPriority w:val="39"/>
    <w:rsid w:val="007B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0CEB"/>
    <w:rPr>
      <w:rFonts w:ascii="Arial" w:eastAsiaTheme="majorEastAsia" w:hAnsi="Arial" w:cs="Arial"/>
      <w:color w:val="B90748"/>
      <w:sz w:val="24"/>
      <w:szCs w:val="24"/>
    </w:rPr>
  </w:style>
  <w:style w:type="character" w:customStyle="1" w:styleId="Heading3Char">
    <w:name w:val="Heading 3 Char"/>
    <w:basedOn w:val="DefaultParagraphFont"/>
    <w:link w:val="Heading3"/>
    <w:uiPriority w:val="9"/>
    <w:semiHidden/>
    <w:rsid w:val="00A94A6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94A6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94A6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94A6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94A65"/>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94A6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94A6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94A6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B7D39"/>
    <w:pPr>
      <w:spacing w:after="200" w:line="240" w:lineRule="auto"/>
      <w:contextualSpacing/>
    </w:pPr>
    <w:rPr>
      <w:rFonts w:ascii="Arial" w:eastAsiaTheme="majorEastAsia" w:hAnsi="Arial" w:cs="Arial"/>
      <w:b/>
      <w:bCs/>
      <w:color w:val="FFFFFF" w:themeColor="background1"/>
      <w:spacing w:val="-10"/>
      <w:sz w:val="52"/>
      <w:szCs w:val="52"/>
    </w:rPr>
  </w:style>
  <w:style w:type="character" w:customStyle="1" w:styleId="TitleChar">
    <w:name w:val="Title Char"/>
    <w:basedOn w:val="DefaultParagraphFont"/>
    <w:link w:val="Title"/>
    <w:uiPriority w:val="10"/>
    <w:rsid w:val="00BB7D39"/>
    <w:rPr>
      <w:rFonts w:ascii="Arial" w:eastAsiaTheme="majorEastAsia" w:hAnsi="Arial" w:cs="Arial"/>
      <w:b/>
      <w:bCs/>
      <w:color w:val="FFFFFF" w:themeColor="background1"/>
      <w:spacing w:val="-10"/>
      <w:sz w:val="52"/>
      <w:szCs w:val="52"/>
    </w:rPr>
  </w:style>
  <w:style w:type="paragraph" w:styleId="Subtitle">
    <w:name w:val="Subtitle"/>
    <w:next w:val="Normal"/>
    <w:link w:val="SubtitleChar"/>
    <w:uiPriority w:val="11"/>
    <w:qFormat/>
    <w:rsid w:val="00BB7D39"/>
    <w:rPr>
      <w:rFonts w:ascii="Arial" w:eastAsiaTheme="majorEastAsia" w:hAnsi="Arial" w:cs="Arial"/>
      <w:i/>
      <w:iCs/>
      <w:color w:val="FFFFFF" w:themeColor="background1"/>
      <w:spacing w:val="-10"/>
      <w:sz w:val="32"/>
      <w:szCs w:val="32"/>
    </w:rPr>
  </w:style>
  <w:style w:type="character" w:customStyle="1" w:styleId="SubtitleChar">
    <w:name w:val="Subtitle Char"/>
    <w:basedOn w:val="DefaultParagraphFont"/>
    <w:link w:val="Subtitle"/>
    <w:uiPriority w:val="11"/>
    <w:rsid w:val="00BB7D39"/>
    <w:rPr>
      <w:rFonts w:ascii="Arial" w:eastAsiaTheme="majorEastAsia" w:hAnsi="Arial" w:cs="Arial"/>
      <w:i/>
      <w:iCs/>
      <w:color w:val="FFFFFF" w:themeColor="background1"/>
      <w:spacing w:val="-10"/>
      <w:sz w:val="32"/>
      <w:szCs w:val="32"/>
    </w:rPr>
  </w:style>
  <w:style w:type="character" w:styleId="Strong">
    <w:name w:val="Strong"/>
    <w:basedOn w:val="DefaultParagraphFont"/>
    <w:uiPriority w:val="22"/>
    <w:qFormat/>
    <w:rsid w:val="00A94A65"/>
    <w:rPr>
      <w:b/>
      <w:bCs/>
    </w:rPr>
  </w:style>
  <w:style w:type="character" w:styleId="Emphasis">
    <w:name w:val="Emphasis"/>
    <w:basedOn w:val="DefaultParagraphFont"/>
    <w:uiPriority w:val="20"/>
    <w:qFormat/>
    <w:rsid w:val="00A94A65"/>
    <w:rPr>
      <w:i/>
      <w:iCs/>
    </w:rPr>
  </w:style>
  <w:style w:type="paragraph" w:styleId="NoSpacing">
    <w:name w:val="No Spacing"/>
    <w:uiPriority w:val="1"/>
    <w:qFormat/>
    <w:rsid w:val="00A94A65"/>
    <w:pPr>
      <w:spacing w:after="0" w:line="240" w:lineRule="auto"/>
    </w:pPr>
  </w:style>
  <w:style w:type="paragraph" w:styleId="Quote">
    <w:name w:val="Quote"/>
    <w:basedOn w:val="Normal"/>
    <w:next w:val="Normal"/>
    <w:link w:val="QuoteChar"/>
    <w:uiPriority w:val="29"/>
    <w:qFormat/>
    <w:rsid w:val="00A94A6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94A65"/>
    <w:rPr>
      <w:i/>
      <w:iCs/>
      <w:color w:val="404040" w:themeColor="text1" w:themeTint="BF"/>
    </w:rPr>
  </w:style>
  <w:style w:type="paragraph" w:styleId="TOC3">
    <w:name w:val="toc 3"/>
    <w:basedOn w:val="Normal"/>
    <w:next w:val="Normal"/>
    <w:autoRedefine/>
    <w:uiPriority w:val="39"/>
    <w:unhideWhenUsed/>
    <w:rsid w:val="003165A6"/>
    <w:pPr>
      <w:spacing w:after="0"/>
      <w:ind w:left="400"/>
    </w:pPr>
    <w:rPr>
      <w:rFonts w:ascii="Arial" w:hAnsi="Arial" w:cstheme="minorHAnsi"/>
    </w:rPr>
  </w:style>
  <w:style w:type="paragraph" w:styleId="TOC4">
    <w:name w:val="toc 4"/>
    <w:basedOn w:val="Normal"/>
    <w:next w:val="Normal"/>
    <w:autoRedefine/>
    <w:uiPriority w:val="39"/>
    <w:unhideWhenUsed/>
    <w:rsid w:val="003165A6"/>
    <w:pPr>
      <w:spacing w:after="0"/>
      <w:ind w:left="600"/>
    </w:pPr>
    <w:rPr>
      <w:rFonts w:ascii="Arial" w:hAnsi="Arial" w:cstheme="minorHAnsi"/>
    </w:rPr>
  </w:style>
  <w:style w:type="character" w:styleId="SubtleEmphasis">
    <w:name w:val="Subtle Emphasis"/>
    <w:basedOn w:val="DefaultParagraphFont"/>
    <w:uiPriority w:val="19"/>
    <w:qFormat/>
    <w:rsid w:val="00A94A65"/>
    <w:rPr>
      <w:i/>
      <w:iCs/>
      <w:color w:val="404040" w:themeColor="text1" w:themeTint="BF"/>
    </w:rPr>
  </w:style>
  <w:style w:type="character" w:styleId="IntenseEmphasis">
    <w:name w:val="Intense Emphasis"/>
    <w:basedOn w:val="DefaultParagraphFont"/>
    <w:uiPriority w:val="21"/>
    <w:qFormat/>
    <w:rsid w:val="00A94A65"/>
    <w:rPr>
      <w:b/>
      <w:bCs/>
      <w:i/>
      <w:iCs/>
    </w:rPr>
  </w:style>
  <w:style w:type="character" w:styleId="SubtleReference">
    <w:name w:val="Subtle Reference"/>
    <w:basedOn w:val="DefaultParagraphFont"/>
    <w:uiPriority w:val="31"/>
    <w:qFormat/>
    <w:rsid w:val="00A94A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94A65"/>
    <w:rPr>
      <w:b/>
      <w:bCs/>
      <w:smallCaps/>
      <w:spacing w:val="5"/>
      <w:u w:val="single"/>
    </w:rPr>
  </w:style>
  <w:style w:type="character" w:styleId="BookTitle">
    <w:name w:val="Book Title"/>
    <w:basedOn w:val="DefaultParagraphFont"/>
    <w:uiPriority w:val="33"/>
    <w:qFormat/>
    <w:rsid w:val="00A94A65"/>
    <w:rPr>
      <w:b/>
      <w:bCs/>
      <w:smallCaps/>
    </w:rPr>
  </w:style>
  <w:style w:type="paragraph" w:styleId="TOCHeading">
    <w:name w:val="TOC Heading"/>
    <w:basedOn w:val="Heading1"/>
    <w:next w:val="Normal"/>
    <w:uiPriority w:val="39"/>
    <w:semiHidden/>
    <w:unhideWhenUsed/>
    <w:qFormat/>
    <w:rsid w:val="00A94A65"/>
    <w:pPr>
      <w:outlineLvl w:val="9"/>
    </w:pPr>
  </w:style>
  <w:style w:type="paragraph" w:styleId="CommentSubject">
    <w:name w:val="annotation subject"/>
    <w:basedOn w:val="CommentText"/>
    <w:next w:val="CommentText"/>
    <w:link w:val="CommentSubjectChar"/>
    <w:uiPriority w:val="99"/>
    <w:semiHidden/>
    <w:unhideWhenUsed/>
    <w:rsid w:val="0087704C"/>
    <w:rPr>
      <w:b/>
      <w:bCs/>
    </w:rPr>
  </w:style>
  <w:style w:type="character" w:customStyle="1" w:styleId="CommentSubjectChar">
    <w:name w:val="Comment Subject Char"/>
    <w:basedOn w:val="CommentTextChar"/>
    <w:link w:val="CommentSubject"/>
    <w:uiPriority w:val="99"/>
    <w:semiHidden/>
    <w:rsid w:val="0087704C"/>
    <w:rPr>
      <w:b/>
      <w:bCs/>
      <w:sz w:val="20"/>
      <w:szCs w:val="20"/>
    </w:rPr>
  </w:style>
  <w:style w:type="paragraph" w:styleId="TOC2">
    <w:name w:val="toc 2"/>
    <w:basedOn w:val="Normal"/>
    <w:next w:val="Normal"/>
    <w:autoRedefine/>
    <w:uiPriority w:val="39"/>
    <w:unhideWhenUsed/>
    <w:rsid w:val="003165A6"/>
    <w:pPr>
      <w:tabs>
        <w:tab w:val="left" w:pos="800"/>
        <w:tab w:val="right" w:leader="dot" w:pos="9016"/>
      </w:tabs>
      <w:spacing w:before="120" w:after="0"/>
      <w:ind w:left="426"/>
    </w:pPr>
    <w:rPr>
      <w:rFonts w:ascii="Arial" w:hAnsi="Arial" w:cstheme="minorHAnsi"/>
      <w:bCs/>
      <w:sz w:val="22"/>
      <w:szCs w:val="22"/>
    </w:rPr>
  </w:style>
  <w:style w:type="paragraph" w:styleId="FootnoteText">
    <w:name w:val="footnote text"/>
    <w:basedOn w:val="Normal"/>
    <w:link w:val="FootnoteTextChar"/>
    <w:uiPriority w:val="99"/>
    <w:semiHidden/>
    <w:unhideWhenUsed/>
    <w:rsid w:val="001210A7"/>
    <w:pPr>
      <w:spacing w:after="0" w:line="240" w:lineRule="auto"/>
    </w:pPr>
    <w:rPr>
      <w:rFonts w:ascii="Arial" w:hAnsi="Arial"/>
    </w:rPr>
  </w:style>
  <w:style w:type="character" w:customStyle="1" w:styleId="FootnoteTextChar">
    <w:name w:val="Footnote Text Char"/>
    <w:basedOn w:val="DefaultParagraphFont"/>
    <w:link w:val="FootnoteText"/>
    <w:uiPriority w:val="99"/>
    <w:semiHidden/>
    <w:rsid w:val="001210A7"/>
    <w:rPr>
      <w:rFonts w:ascii="Arial" w:hAnsi="Arial"/>
    </w:rPr>
  </w:style>
  <w:style w:type="character" w:styleId="FootnoteReference">
    <w:name w:val="footnote reference"/>
    <w:basedOn w:val="DefaultParagraphFont"/>
    <w:uiPriority w:val="99"/>
    <w:semiHidden/>
    <w:unhideWhenUsed/>
    <w:rsid w:val="004C1683"/>
    <w:rPr>
      <w:vertAlign w:val="superscript"/>
    </w:rPr>
  </w:style>
  <w:style w:type="paragraph" w:styleId="TOC1">
    <w:name w:val="toc 1"/>
    <w:basedOn w:val="Normal"/>
    <w:next w:val="Normal"/>
    <w:autoRedefine/>
    <w:uiPriority w:val="39"/>
    <w:unhideWhenUsed/>
    <w:rsid w:val="003165A6"/>
    <w:pPr>
      <w:tabs>
        <w:tab w:val="left" w:pos="400"/>
        <w:tab w:val="right" w:leader="dot" w:pos="9016"/>
      </w:tabs>
      <w:spacing w:before="120" w:after="0"/>
    </w:pPr>
    <w:rPr>
      <w:rFonts w:ascii="Arial" w:hAnsi="Arial" w:cstheme="minorHAnsi"/>
      <w:bCs/>
      <w:iCs/>
      <w:sz w:val="24"/>
      <w:szCs w:val="24"/>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locked/>
    <w:rsid w:val="003C7C0E"/>
  </w:style>
  <w:style w:type="table" w:styleId="GridTable2-Accent5">
    <w:name w:val="Grid Table 2 Accent 5"/>
    <w:basedOn w:val="TableNormal"/>
    <w:uiPriority w:val="47"/>
    <w:rsid w:val="00073D7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C1ED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Pr/>
      <w:tcPr>
        <w:shd w:val="clear" w:color="auto" w:fill="DEEAF6" w:themeFill="accent5" w:themeFillTint="33"/>
      </w:tcPr>
    </w:tblStylePr>
    <w:tblStylePr w:type="lastRow">
      <w:rPr>
        <w:b/>
        <w:bCs/>
      </w:rPr>
    </w:tblStylePr>
    <w:tblStylePr w:type="firstCol">
      <w:rPr>
        <w:b/>
        <w:bCs/>
      </w:rPr>
    </w:tblStylePr>
    <w:tblStylePr w:type="lastCol">
      <w:rPr>
        <w:b/>
        <w:bCs/>
      </w:rPr>
    </w:tblStylePr>
    <w:tblStylePr w:type="band1Horz">
      <w:pPr>
        <w:jc w:val="left"/>
      </w:pPr>
    </w:tblStylePr>
    <w:tblStylePr w:type="band2Horz">
      <w:tblPr/>
      <w:tcPr>
        <w:shd w:val="clear" w:color="auto" w:fill="DEEAF6" w:themeFill="accent5" w:themeFillTint="33"/>
      </w:tcPr>
    </w:tblStylePr>
  </w:style>
  <w:style w:type="paragraph" w:styleId="EndnoteText">
    <w:name w:val="endnote text"/>
    <w:basedOn w:val="Normal"/>
    <w:link w:val="EndnoteTextChar"/>
    <w:uiPriority w:val="99"/>
    <w:semiHidden/>
    <w:unhideWhenUsed/>
    <w:rsid w:val="000C1B80"/>
    <w:pPr>
      <w:spacing w:after="0" w:line="240" w:lineRule="auto"/>
    </w:pPr>
  </w:style>
  <w:style w:type="character" w:customStyle="1" w:styleId="EndnoteTextChar">
    <w:name w:val="Endnote Text Char"/>
    <w:basedOn w:val="DefaultParagraphFont"/>
    <w:link w:val="EndnoteText"/>
    <w:uiPriority w:val="99"/>
    <w:semiHidden/>
    <w:rsid w:val="000C1B80"/>
  </w:style>
  <w:style w:type="character" w:styleId="EndnoteReference">
    <w:name w:val="endnote reference"/>
    <w:basedOn w:val="DefaultParagraphFont"/>
    <w:uiPriority w:val="99"/>
    <w:semiHidden/>
    <w:unhideWhenUsed/>
    <w:rsid w:val="000C1B80"/>
    <w:rPr>
      <w:vertAlign w:val="superscript"/>
    </w:rPr>
  </w:style>
  <w:style w:type="character" w:customStyle="1" w:styleId="Italics">
    <w:name w:val="Italics"/>
    <w:basedOn w:val="DefaultParagraphFont"/>
    <w:uiPriority w:val="1"/>
    <w:qFormat/>
    <w:rsid w:val="00B068A0"/>
    <w:rPr>
      <w:i/>
      <w:noProof/>
    </w:rPr>
  </w:style>
  <w:style w:type="paragraph" w:customStyle="1" w:styleId="Pulloutbox">
    <w:name w:val="Pull out box"/>
    <w:basedOn w:val="Normal"/>
    <w:qFormat/>
    <w:rsid w:val="00436629"/>
    <w:pPr>
      <w:pBdr>
        <w:top w:val="single" w:sz="4" w:space="10" w:color="FCBF06"/>
        <w:left w:val="single" w:sz="4" w:space="10" w:color="FCBF06"/>
        <w:bottom w:val="single" w:sz="4" w:space="10" w:color="FCBF06"/>
        <w:right w:val="single" w:sz="4" w:space="10" w:color="FCBF06"/>
      </w:pBdr>
      <w:shd w:val="clear" w:color="auto" w:fill="F6E792"/>
      <w:spacing w:before="200" w:line="240" w:lineRule="auto"/>
      <w:ind w:left="198" w:right="198"/>
    </w:pPr>
    <w:rPr>
      <w:rFonts w:ascii="Arial" w:hAnsi="Arial" w:cs="Arial"/>
      <w:sz w:val="22"/>
    </w:rPr>
  </w:style>
  <w:style w:type="paragraph" w:customStyle="1" w:styleId="Bulletedlist">
    <w:name w:val="Bulleted list"/>
    <w:basedOn w:val="ListParagraph"/>
    <w:qFormat/>
    <w:rsid w:val="003D5105"/>
    <w:pPr>
      <w:numPr>
        <w:numId w:val="2"/>
      </w:numPr>
      <w:spacing w:line="240" w:lineRule="auto"/>
    </w:pPr>
    <w:rPr>
      <w:rFonts w:ascii="Arial" w:hAnsi="Arial" w:cs="Arial"/>
      <w:sz w:val="22"/>
      <w:szCs w:val="22"/>
    </w:rPr>
  </w:style>
  <w:style w:type="paragraph" w:customStyle="1" w:styleId="Bold">
    <w:name w:val="Bold"/>
    <w:basedOn w:val="BodycopyQPC"/>
    <w:link w:val="BoldChar"/>
    <w:qFormat/>
    <w:rsid w:val="00E80F9C"/>
    <w:rPr>
      <w:b/>
    </w:rPr>
  </w:style>
  <w:style w:type="character" w:customStyle="1" w:styleId="BodycopyQPCChar">
    <w:name w:val="Body copy QPC Char"/>
    <w:basedOn w:val="DefaultParagraphFont"/>
    <w:link w:val="BodycopyQPC"/>
    <w:rsid w:val="00E80F9C"/>
    <w:rPr>
      <w:rFonts w:ascii="Arial" w:hAnsi="Arial"/>
      <w:color w:val="000000" w:themeColor="text1"/>
      <w:sz w:val="22"/>
    </w:rPr>
  </w:style>
  <w:style w:type="character" w:customStyle="1" w:styleId="BoldChar">
    <w:name w:val="Bold Char"/>
    <w:basedOn w:val="BodycopyQPCChar"/>
    <w:link w:val="Bold"/>
    <w:rsid w:val="00E80F9C"/>
    <w:rPr>
      <w:rFonts w:ascii="Arial" w:hAnsi="Arial"/>
      <w:b/>
      <w:color w:val="000000" w:themeColor="text1"/>
      <w:sz w:val="22"/>
    </w:rPr>
  </w:style>
  <w:style w:type="paragraph" w:styleId="TOC5">
    <w:name w:val="toc 5"/>
    <w:basedOn w:val="Normal"/>
    <w:next w:val="Normal"/>
    <w:autoRedefine/>
    <w:uiPriority w:val="39"/>
    <w:unhideWhenUsed/>
    <w:rsid w:val="0086018C"/>
    <w:pPr>
      <w:spacing w:after="0"/>
      <w:ind w:left="800"/>
    </w:pPr>
    <w:rPr>
      <w:rFonts w:cstheme="minorHAnsi"/>
    </w:rPr>
  </w:style>
  <w:style w:type="paragraph" w:styleId="TOC6">
    <w:name w:val="toc 6"/>
    <w:basedOn w:val="Normal"/>
    <w:next w:val="Normal"/>
    <w:autoRedefine/>
    <w:uiPriority w:val="39"/>
    <w:unhideWhenUsed/>
    <w:rsid w:val="0086018C"/>
    <w:pPr>
      <w:spacing w:after="0"/>
      <w:ind w:left="1000"/>
    </w:pPr>
    <w:rPr>
      <w:rFonts w:cstheme="minorHAnsi"/>
    </w:rPr>
  </w:style>
  <w:style w:type="paragraph" w:styleId="TOC7">
    <w:name w:val="toc 7"/>
    <w:basedOn w:val="Normal"/>
    <w:next w:val="Normal"/>
    <w:autoRedefine/>
    <w:uiPriority w:val="39"/>
    <w:unhideWhenUsed/>
    <w:rsid w:val="0086018C"/>
    <w:pPr>
      <w:spacing w:after="0"/>
      <w:ind w:left="1200"/>
    </w:pPr>
    <w:rPr>
      <w:rFonts w:cstheme="minorHAnsi"/>
    </w:rPr>
  </w:style>
  <w:style w:type="paragraph" w:styleId="TOC8">
    <w:name w:val="toc 8"/>
    <w:basedOn w:val="Normal"/>
    <w:next w:val="Normal"/>
    <w:autoRedefine/>
    <w:uiPriority w:val="39"/>
    <w:unhideWhenUsed/>
    <w:rsid w:val="0086018C"/>
    <w:pPr>
      <w:spacing w:after="0"/>
      <w:ind w:left="1400"/>
    </w:pPr>
    <w:rPr>
      <w:rFonts w:cstheme="minorHAnsi"/>
    </w:rPr>
  </w:style>
  <w:style w:type="paragraph" w:styleId="TOC9">
    <w:name w:val="toc 9"/>
    <w:basedOn w:val="Normal"/>
    <w:next w:val="Normal"/>
    <w:autoRedefine/>
    <w:uiPriority w:val="39"/>
    <w:unhideWhenUsed/>
    <w:rsid w:val="0086018C"/>
    <w:pPr>
      <w:spacing w:after="0"/>
      <w:ind w:left="1600"/>
    </w:pPr>
    <w:rPr>
      <w:rFonts w:cstheme="minorHAnsi"/>
    </w:rPr>
  </w:style>
  <w:style w:type="paragraph" w:styleId="Revision">
    <w:name w:val="Revision"/>
    <w:hidden/>
    <w:uiPriority w:val="99"/>
    <w:semiHidden/>
    <w:rsid w:val="00987C8A"/>
    <w:pPr>
      <w:spacing w:after="0" w:line="240" w:lineRule="auto"/>
    </w:pPr>
  </w:style>
  <w:style w:type="paragraph" w:styleId="NormalWeb">
    <w:name w:val="Normal (Web)"/>
    <w:basedOn w:val="Normal"/>
    <w:uiPriority w:val="99"/>
    <w:semiHidden/>
    <w:unhideWhenUsed/>
    <w:rsid w:val="003165A6"/>
    <w:pPr>
      <w:spacing w:before="100" w:beforeAutospacing="1" w:after="100" w:afterAutospacing="1" w:line="240" w:lineRule="auto"/>
    </w:pPr>
    <w:rPr>
      <w:rFonts w:ascii="Times New Roman" w:hAnsi="Times New Roman" w:cs="Times New Roman"/>
      <w:sz w:val="24"/>
      <w:szCs w:val="24"/>
    </w:rPr>
  </w:style>
  <w:style w:type="table" w:styleId="GridTable1Light-Accent4">
    <w:name w:val="Grid Table 1 Light Accent 4"/>
    <w:basedOn w:val="TableNormal"/>
    <w:uiPriority w:val="46"/>
    <w:rsid w:val="00571EC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98601">
      <w:bodyDiv w:val="1"/>
      <w:marLeft w:val="0"/>
      <w:marRight w:val="0"/>
      <w:marTop w:val="0"/>
      <w:marBottom w:val="0"/>
      <w:divBdr>
        <w:top w:val="none" w:sz="0" w:space="0" w:color="auto"/>
        <w:left w:val="none" w:sz="0" w:space="0" w:color="auto"/>
        <w:bottom w:val="none" w:sz="0" w:space="0" w:color="auto"/>
        <w:right w:val="none" w:sz="0" w:space="0" w:color="auto"/>
      </w:divBdr>
    </w:div>
    <w:div w:id="68505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F49D2880712C43B60BDFC9389B1C15" ma:contentTypeVersion="11" ma:contentTypeDescription="Create a new document." ma:contentTypeScope="" ma:versionID="04b00997ce7c731533b43c8dd2e52f72">
  <xsd:schema xmlns:xsd="http://www.w3.org/2001/XMLSchema" xmlns:xs="http://www.w3.org/2001/XMLSchema" xmlns:p="http://schemas.microsoft.com/office/2006/metadata/properties" xmlns:ns3="fb083adc-c40f-4c2e-8f76-1ad3276676e0" xmlns:ns4="d1fc3c3c-6e2b-4327-a44e-a3301f4b125f" targetNamespace="http://schemas.microsoft.com/office/2006/metadata/properties" ma:root="true" ma:fieldsID="db34f93d8c7c9818b5130f542ab63daf" ns3:_="" ns4:_="">
    <xsd:import namespace="fb083adc-c40f-4c2e-8f76-1ad3276676e0"/>
    <xsd:import namespace="d1fc3c3c-6e2b-4327-a44e-a3301f4b12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83adc-c40f-4c2e-8f76-1ad3276676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fc3c3c-6e2b-4327-a44e-a3301f4b12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36B1D-894E-4C26-AF90-C2F59EA6F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83adc-c40f-4c2e-8f76-1ad3276676e0"/>
    <ds:schemaRef ds:uri="d1fc3c3c-6e2b-4327-a44e-a3301f4b1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FBCA6-0DC8-4545-8734-BC72FA623E32}">
  <ds:schemaRefs>
    <ds:schemaRef ds:uri="http://schemas.microsoft.com/sharepoint/v3/contenttype/forms"/>
  </ds:schemaRefs>
</ds:datastoreItem>
</file>

<file path=customXml/itemProps3.xml><?xml version="1.0" encoding="utf-8"?>
<ds:datastoreItem xmlns:ds="http://schemas.openxmlformats.org/officeDocument/2006/customXml" ds:itemID="{08926EA9-4DFF-4FFE-937C-33941F491D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CE7CB4-F34A-4243-8230-8C3CBB5C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Queensland Government response to the Queensland Productivity Commission’s Inquiry into the NDIS market in Queensland Summary report</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Government response to the Queensland Productivity Commission’s Inquiry into the NDIS market in Queensland Summary report</dc:title>
  <dc:subject>National Disability Insurance Scheme</dc:subject>
  <dc:creator>Queensland Government</dc:creator>
  <cp:keywords>NDIS; inquiry; report; summary; response</cp:keywords>
  <dc:description/>
  <cp:lastModifiedBy>Tanya R Campbell</cp:lastModifiedBy>
  <cp:revision>4</cp:revision>
  <dcterms:created xsi:type="dcterms:W3CDTF">2021-10-28T03:53:00Z</dcterms:created>
  <dcterms:modified xsi:type="dcterms:W3CDTF">2021-10-28T04:44:00Z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0x010100C8F49D2880712C43B60BDFC9389B1C15</vt:lpwstr>
  </property>
</Properties>
</file>